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22a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(weggefallen)</w:t>
      </w:r>
    </w:p>
    <w:p>
      <w:r>
        <w:t xml:space="preserve">(2) Bei Berechtigten, die hauptamtlich als Mitarbeiter in einem Staatssicherheitsdienst beschäftigt waren oder dem in § 7 Abs. 1 Satz 2 des Anspruchs- und Anwartschaftsüberführungsgesetzes genannten Personenkreis entsprechen oder vergleichbar sind, wird als maßgebendes Entgelt für anrechenbare Zeiten höchstens das jeweilige Durchschnittsentgelt der Anlage 1 des Sechsten Buches Sozialgesetzbuch zugrunde gelegt.</w:t>
      </w:r>
    </w:p>
    <w:p>
      <w:r>
        <w:t xml:space="preserve">(3) Absatz 2 gilt nicht für Berechtigte, bei denen am 1. August 1991 eine Rente bereits festgestellt ist, es sei denn, es wird im Einzelfall festgestellt, daß Zeiten nach Absatz 2 bei Feststellung der Rente berücksichtigt wurden.</w:t>
      </w:r>
    </w:p>
    <w:p>
      <w:r>
        <w:rPr>
          <w:color w:val="555555"/>
          <w:sz w:val="17"/>
        </w:rPr>
        <w:t xml:space="preserve">Zitiervorschlag: § 22a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https://recht.nulegal.eu/gesetze/FRG/22a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