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FRG</w:t>
      </w:r>
    </w:p>
    <w:p>
      <w:r>
        <w:rPr>
          <w:color w:val="555555"/>
          <w:sz w:val="18"/>
        </w:rPr>
        <w:t xml:space="preserve">Fremdrentengesetz</w:t>
      </w:r>
    </w:p>
    <w:p>
      <w:r>
        <w:rPr>
          <w:color w:val="555555"/>
          <w:sz w:val="18"/>
        </w:rPr>
        <w:t xml:space="preserve">Stand: 10.06.2019 (konsolidierte Textfassung, kein amtliches Inkrafttretensdatum)</w:t>
      </w:r>
    </w:p>
    <w:p>
      <w:r>
        <w:t xml:space="preserve">Vom 1. Januar 1992 an sind Anrechnungszeiten auch Zeiten, in denen Versicherungspflicht nicht bestanden hat und Versicherte nach dem vollendeten 14. Lebensjahr in Gewahrsam genommen worden sind oder im Anschluß daran wegen Krankheit arbeitsunfähig oder unverschuldet arbeitslos gewesen sind, wenn sie zum Personenkreis des § 1 des Häftlingshilfegesetzes gehören.</w:t>
      </w:r>
    </w:p>
    <w:p>
      <w:r>
        <w:rPr>
          <w:color w:val="555555"/>
          <w:sz w:val="17"/>
        </w:rPr>
        <w:t xml:space="preserve">Zitiervorschlag: § 21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