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FRG</w:t>
      </w:r>
    </w:p>
    <w:p>
      <w:r>
        <w:rPr>
          <w:color w:val="555555"/>
          <w:sz w:val="18"/>
        </w:rPr>
        <w:t xml:space="preserve">Fremdrentengesetz</w:t>
      </w:r>
    </w:p>
    <w:p>
      <w:r>
        <w:rPr>
          <w:color w:val="555555"/>
          <w:sz w:val="18"/>
        </w:rPr>
        <w:t xml:space="preserve">Stand: 10.06.2019 (konsolidierte Textfassung, kein amtliches Inkrafttretensdatum)</w:t>
      </w:r>
    </w:p>
    <w:p>
      <w:r>
        <w:t xml:space="preserve">Dieses Gesetz gilt nicht für</w:t>
      </w:r>
    </w:p>
    <w:p>
      <w:pPr>
        <w:ind w:left="420"/>
      </w:pPr>
      <w:r>
        <w:t xml:space="preserve">a) Arbeitsunfälle und Berufskrankheiten, wenn</w:t>
      </w:r>
    </w:p>
    <w:p>
      <w:pPr>
        <w:ind w:left="780"/>
      </w:pPr>
      <w:r>
        <w:t xml:space="preserve">nach einer von einer europäischen Gemeinschaft erlassenen Rechtsvorschrift, die in der Bundesrepublik Deutschland verbindlich ist und unmittelbar gilt,nach einem für die Bundesrepublik Deutschland wirksamen zwischenstaatlichen Abkommen über Sozialversicherung odernach innerstaatlichen Rechtsvorschriften eines Staates, für den ein auch für die Bundesrepublik Deutschland verbindliches allgemeines Abkommen über Sozialversicherung wirksam ist,</w:t>
      </w:r>
    </w:p>
    <w:p>
      <w:pPr>
        <w:ind w:left="420"/>
      </w:pPr>
      <w:r>
        <w:t xml:space="preserve">für die Entscheidung über die Entschädigung eine Stelle außerhalb des Geltungsbereichs dieses Gesetzes zuständig ist,</w:t>
      </w:r>
    </w:p>
    <w:p>
      <w:pPr>
        <w:ind w:left="420"/>
      </w:pPr>
      <w:r>
        <w:t xml:space="preserve">b) Versicherungszeiten und Beschäftigungszeiten, die</w:t>
      </w:r>
    </w:p>
    <w:p>
      <w:pPr>
        <w:ind w:left="780"/>
      </w:pPr>
      <w:r>
        <w:t xml:space="preserve">nach einer von einer europäischen Gemeinschaft erlassenen Rechtsvorschrift, die in der Bundesrepublik Deutschland verbindlich ist und unmittelbar gilt,nach einem für die Bundesrepublik Deutschland wirksamen zwischenstaatlichen Abkommen über Sozialversicherung odernach innerstaatlichen Rechtsvorschriften eines Staates, für den auch ein für die Bundesrepublik Deutschland verbindliches allgemeines Abkommen über Sozialversicherung wirksam ist,</w:t>
      </w:r>
    </w:p>
    <w:p>
      <w:pPr>
        <w:ind w:left="420"/>
      </w:pPr>
      <w:r>
        <w:t xml:space="preserve">in einer Rentenversicherung des anderen Staates, ohne Rücksicht darauf, ob sie im Einzelfall der Berechnung der Leistungen zugrunde gelegt werden, anrechnungsfähig sind oder nur deshalb nicht anrechnungsfähig sind, weil es Beschäftigungszeiten sind.</w:t>
      </w:r>
    </w:p>
    <w:p>
      <w:r>
        <w:t xml:space="preserve">Satz 1 gilt nicht, soweit nach einem zwischenstaatlichen Abkommen die Rechtsvorschriften über Leistungen für nach diesem Gesetz anrechenbare Versicherungszeiten oder zu entschädigende Arbeitsunfälle und Berufskrankheiten unberührt bleiben.</w:t>
      </w:r>
    </w:p>
    <w:p>
      <w:r>
        <w:rPr>
          <w:color w:val="555555"/>
          <w:sz w:val="17"/>
        </w:rPr>
        <w:t xml:space="preserve">Zitiervorschlag: § 2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