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FRG</w:t>
      </w:r>
    </w:p>
    <w:p>
      <w:r>
        <w:rPr>
          <w:color w:val="555555"/>
          <w:sz w:val="18"/>
        </w:rPr>
        <w:t xml:space="preserve">Fremdrentengesetz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Beitragszeit wird in ihrem ursprünglichen Umfang angerechnet, wenn sie sich bei einem Wechsel des Versicherungsträgers verringert hat.</w:t>
      </w:r>
    </w:p>
    <w:p>
      <w:r>
        <w:t xml:space="preserve">(2) (weggefallen)</w:t>
      </w:r>
    </w:p>
    <w:p>
      <w:r>
        <w:t xml:space="preserve">(3) Beitragszeiten, die während des Bezugs einer Altersrente zurückgelegt sind, werden bis zum Erreichen der Regelaltersgrenze angerechnet; dies gilt auch für Beitragszeiten, die während des Bezugs einer Leistung zurückgelegt sind, die anstelle einer Altersrente erbracht wird.</w:t>
      </w:r>
    </w:p>
    <w:p>
      <w:r>
        <w:t xml:space="preserve">(4) Sind Tagesbeiträge entrichtet, so wird für je sieben Tagesbeiträge eine Woche als Beitragszeit angerechnet; ein verbleibender Rest gilt als volle Beitragswoche.</w:t>
      </w:r>
    </w:p>
    <w:p>
      <w:r>
        <w:rPr>
          <w:color w:val="555555"/>
          <w:sz w:val="17"/>
        </w:rPr>
        <w:t xml:space="preserve">Zitiervorschlag: § 19 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https://recht.nulegal.eu/gesetze/FRG/19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