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gesetzliche Rentenversicherung maßgebenden Vorschriften dieses Gesetzes finden Anwendung auch auf</w:t>
      </w:r>
    </w:p>
    <w:p>
      <w:pPr>
        <w:ind w:left="420"/>
      </w:pPr>
      <w:r>
        <w:t xml:space="preserve">a) Personen, die bis zu dem Zeitpunkt, in dem der nationalsozialistische Einflußbereich sich auf ihr jeweiliges Heimatgebiet erstreckt hat,</w:t>
      </w:r>
    </w:p>
    <w:p>
      <w:pPr>
        <w:ind w:left="780"/>
      </w:pPr>
      <w:r>
        <w:t xml:space="preserve">1. dem deutschen Sprach- und Kulturkreis angehört haben,</w:t>
      </w:r>
    </w:p>
    <w:p>
      <w:pPr>
        <w:ind w:left="780"/>
      </w:pPr>
      <w:r>
        <w:t xml:space="preserve">2. das 16. Lebensjahr bereits vollendet hatten oder im Zeitpunkt des Verlassens des Vertreibungsgebietes dem deutschen Sprach- und Kulturkreis angehört haben und</w:t>
      </w:r>
    </w:p>
    <w:p>
      <w:pPr>
        <w:ind w:left="780"/>
      </w:pPr>
      <w:r>
        <w:t xml:space="preserve">3. sich wegen ihrer Zugehörigkeit zum Judentum nicht zum deutschen Volkstum bekannt hatten</w:t>
      </w:r>
    </w:p>
    <w:p>
      <w:pPr>
        <w:ind w:left="420"/>
      </w:pPr>
      <w:r>
        <w:t xml:space="preserve">und die Vertreibungsgebiete nach § 1 Abs. 2 Nr. 3 des Bundesvertriebenengesetzes verlassen haben,</w:t>
      </w:r>
    </w:p>
    <w:p>
      <w:pPr>
        <w:ind w:left="420"/>
      </w:pPr>
      <w:r>
        <w:t xml:space="preserve">b) Hinterbliebene der in Buchstabe a genannten Personen bezüglich der Gewährung von Leistungen an Hinterbliebene.</w:t>
      </w:r>
    </w:p>
    <w:p>
      <w:r>
        <w:rPr>
          <w:color w:val="555555"/>
          <w:sz w:val="17"/>
        </w:rPr>
        <w:t xml:space="preserve">Zitiervorschlag: § 17a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