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§ 16 gilt auch für die vor dem 9. Mai 1945 in den ehemaligen deutschen Ostgebieten verrichtete Beschäftigung eines Deutschen im Sinne des Artikels 116 Abs. 1 des Grundgesetzes oder eines früheren deutschen Staatsangehörigen im Sinne des Artikels 116 Abs. 2 Satz 1 des Grundgesetzes, jedoch nur für eine Beschäftigung außerhalb des öffentlichen Dienstes, die nach den reichsgesetzlichen Vorschriften wegen der Gewährleistung von Versorgungsanwartschaften versicherungsfrei gewesen ist. Auf die in § 1 Buchstaben b und d genannten Personen und deren Hinterbliebene findet § 16 keine Anwendung.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17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