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14a FRG</w:t>
      </w:r>
    </w:p>
    <w:p>
      <w:r>
        <w:rPr>
          <w:color w:val="555555"/>
          <w:sz w:val="18"/>
        </w:rPr>
        <w:t xml:space="preserve">Fremdrentengesetz</w:t>
      </w:r>
    </w:p>
    <w:p>
      <w:r>
        <w:rPr>
          <w:color w:val="555555"/>
          <w:sz w:val="18"/>
        </w:rPr>
        <w:t xml:space="preserve">Stand: 10.06.2019 (konsolidierte Textfassung, kein amtliches Inkrafttretensdatum)</w:t>
      </w:r>
    </w:p>
    <w:p>
      <w:r>
        <w:t xml:space="preserve">Bei Renten wegen Todes an Witwen und Witwer von Personen, die nicht zum Personenkreis des § 1 gehören, werden Zeiten nach diesem Gesetz nicht angerechnet. Dies gilt nicht für Berechtigte, die vor dem 1. Januar 2002 ihren gewöhnlichen Aufenthalt in der Bundesrepublik Deutschland genommen haben und deren Ehegatte vor diesem Zeitpunkt verstorben ist.</w:t>
      </w:r>
    </w:p>
    <w:p>
      <w:r>
        <w:rPr>
          <w:color w:val="555555"/>
          <w:sz w:val="17"/>
        </w:rPr>
        <w:t xml:space="preserve">Zitiervorschlag: § 14a FRG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https://recht.nulegal.eu/gesetze/FRG/14a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