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FRG</w:t>
      </w:r>
    </w:p>
    <w:p>
      <w:r>
        <w:rPr>
          <w:color w:val="555555"/>
          <w:sz w:val="18"/>
        </w:rPr>
        <w:t xml:space="preserve">Fremdrentengesetz</w:t>
      </w:r>
    </w:p>
    <w:p>
      <w:r>
        <w:rPr>
          <w:color w:val="555555"/>
          <w:sz w:val="18"/>
        </w:rPr>
        <w:t xml:space="preserve">Stand: 10.06.2019 (konsolidierte Textfassung, kein amtliches Inkrafttretensdatum)</w:t>
      </w:r>
    </w:p>
    <w:p>
      <w:r>
        <w:t xml:space="preserve">(1) Ist der Arbeitsunfall oder die Berufskrankheit vor dem 9. Mai 1945 außerhalb des Gebiets der Bundesrepublik Deutschland eingetreten und war der Berechtigte hierfür von einem deutschen Träger der gesetzlichen Unfallversicherung zu entschädigen, so kann die Rente einem Deutschen im Sinne des Artikels 116 Abs. 1 des Grundgesetzes oder einem früheren deutschen Staatsangehörigen im Sinne des Artikels 116 Abs. 2 Satz 1 des Grundgesetzes, der sich im Gebiet eines auswärtigen Staates aufhält, in dem die Bundesrepublik Deutschland eine amtliche Vertretung hat, gezahlt werden. Eine solche Rente gilt nicht als Leistung der sozialen Sicherheit.</w:t>
      </w:r>
    </w:p>
    <w:p>
      <w:r>
        <w:t xml:space="preserve">(2) Geht der Rentenzahlung nach Absatz 1 keine Leistung für Zeiten des Aufenthalts im Gebiet der Bundesrepublik Deutschland voraus, so ist für die Feststellung und Zahlung der Rente der ursprünglich verpflichtete Versicherungsträger zuständig. § 12 Abs. 2 Satz 2 und 3 gilt entsprechend.</w:t>
      </w:r>
    </w:p>
    <w:p>
      <w:r>
        <w:t xml:space="preserve">(3) Früheren deutschen Staatsangehörigen im Sinne des Artikels 116 Abs. 2 Satz 1 des Grundgesetzes stehen Personen gleich, die zwischen dem 30. Januar 1933 und dem 8. Mai 1945 das Gebiet des Deutschen Reiches oder das Gebiet der Freien Stadt Danzig verlassen haben, um sich einer von ihnen nicht zu vertretenden und durch die politischen Verhältnisse bedingten besonderen Zwangslage zu entziehen, oder aus den gleichen Gründen nicht in das Gebiet des Deutschen Reiches oder in das Gebiet der Freien Stadt Danzig zurückkehren konnten.</w:t>
      </w:r>
    </w:p>
    <w:p>
      <w:r>
        <w:t xml:space="preserve">(4) Die Bundesregierung kann durch Rechtsverordnung mit Zustimmung des Bundesrates bestimmen, daß der gewöhnliche Aufenthalt in einem sonstigen Gebiet außerhalb des Gebiets der Bundesrepublik Deutschland dem gewöhnlichen Aufenthalt im Gebiet eines auswärtigen Staates gleichsteht, in dem die Bundesrepublik Deutschland eine amtliche Vertretung hat.</w:t>
      </w:r>
    </w:p>
    <w:p>
      <w:r>
        <w:rPr>
          <w:color w:val="555555"/>
          <w:sz w:val="17"/>
        </w:rPr>
        <w:t xml:space="preserve">Zitiervorschlag: § 13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