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FRG</w:t>
      </w:r>
    </w:p>
    <w:p>
      <w:r>
        <w:rPr>
          <w:color w:val="555555"/>
          <w:sz w:val="18"/>
        </w:rPr>
        <w:t xml:space="preserve">Fremdrentengesetz</w:t>
      </w:r>
    </w:p>
    <w:p>
      <w:r>
        <w:rPr>
          <w:color w:val="555555"/>
          <w:sz w:val="18"/>
        </w:rPr>
        <w:t xml:space="preserve">Stand: 10.06.2019 (konsolidierte Textfassung, kein amtliches Inkrafttretensdatum)</w:t>
      </w:r>
    </w:p>
    <w:p>
      <w:r>
        <w:t xml:space="preserve">(1) Die Rente, die für einen Arbeitsunfall oder eine Berufskrankheit nach § 5 zu gewähren ist, ruht, solange sich der Berechtigte außerhalb der Bundesrepublik Deutschland gewöhnlich aufhält. Die Gewährung von Sachleistungen in Gebiete außerhalb der Bundesrepublik Deutschland ist ausgeschlossen.</w:t>
      </w:r>
    </w:p>
    <w:p>
      <w:r>
        <w:t xml:space="preserve">(2) Wird der Antrag auf Rente während des gewöhnlichen Aufenthalts des Berechtigten außerhalb der Bundesrepublik Deutschland gestellt, so ist für die Feststellung der Rente und die Entscheidung über das Ruhen der ursprünglich verpflichtete Versicherungsträger zuständig. Ist dieser nicht mehr vorhanden, so richtet sich die Zuständigkeit nach der Art des Unternehmens, in dem sich der Arbeitsunfall ereignet hat; § 9 Abs. 2 und 3 gilt entsprechend. Mehrere sachlich zuständige Versicherungsträger bestimmen durch Vereinbarung, welcher von ihnen örtlich zuständig ist.</w:t>
      </w:r>
    </w:p>
    <w:p>
      <w:r>
        <w:rPr>
          <w:color w:val="555555"/>
          <w:sz w:val="17"/>
        </w:rPr>
        <w:t xml:space="preserve">Zitiervorschlag: § 12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