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FRG</w:t>
      </w:r>
    </w:p>
    <w:p>
      <w:r>
        <w:rPr>
          <w:color w:val="555555"/>
          <w:sz w:val="18"/>
        </w:rPr>
        <w:t xml:space="preserve">Fremdrentengesetz</w:t>
      </w:r>
    </w:p>
    <w:p>
      <w:r>
        <w:rPr>
          <w:color w:val="555555"/>
          <w:sz w:val="18"/>
        </w:rPr>
        <w:t xml:space="preserve">Stand: 10.06.2019 (konsolidierte Textfassung, kein amtliches Inkrafttretensdatum)</w:t>
      </w:r>
    </w:p>
    <w:p>
      <w:r>
        <w:t xml:space="preserve">Dieses Gesetz findet unbeschadet des § 5 Abs. 4 und des § 17 Anwendung auf</w:t>
      </w:r>
    </w:p>
    <w:p>
      <w:pPr>
        <w:ind w:left="420"/>
      </w:pPr>
      <w:r>
        <w:t xml:space="preserve">a) Vertriebene im Sinne des § 1 des Bundesvertriebenengesetzes sowie Spätaussiedler im Sinne des § 4 des Bundesvertriebenengesetzes, die als solche in der Bundesrepublik Deutschland anerkannt sind,</w:t>
      </w:r>
    </w:p>
    <w:p>
      <w:pPr>
        <w:ind w:left="420"/>
      </w:pPr>
      <w:r>
        <w:t xml:space="preserve">b) Deutsche im Sinne des Artikels 116 Abs. 1 des Grundgesetzes und frühere deutsche Staatsangehörige im Sinne des Artikels 116 Abs. 2 Satz 1 des Grundgesetzes, wenn sie unabhängig von den Kriegsauswirkungen ihren gewöhnlichen Aufenthalt in der Bundesrepublik Deutschland genommen haben, jedoch infolge der Kriegsauswirkungen den früher für sie zuständigen Versicherungsträger eines auswärtigen Staates nicht mehr in Anspruch nehmen können,</w:t>
      </w:r>
    </w:p>
    <w:p>
      <w:pPr>
        <w:ind w:left="420"/>
      </w:pPr>
      <w:r>
        <w:t xml:space="preserve">c) Deutsche im Sinne des Artikels 116 Abs. 1 des Grundgesetzes und frühere deutsche Staatsangehörige im Sinne des Artikels 116 Abs. 2 Satz 1 des Grundgesetzes, die nach dem 8. Mai 1945 in ein ausländisches Staatsgebiet zur Arbeitsleistung verbracht wurden,</w:t>
      </w:r>
    </w:p>
    <w:p>
      <w:pPr>
        <w:ind w:left="420"/>
      </w:pPr>
      <w:r>
        <w:t xml:space="preserve">d) heimatlose Ausländer im Sinne des Gesetzes über die Rechtsstellung heimatloser Ausländer im Bundesgebiet vom 25. April 1951 (Bundesgesetzbl. I S. 269), auch wenn sie die deutsche Staatsangehörigkeit erworben haben oder erwerben,</w:t>
      </w:r>
    </w:p>
    <w:p>
      <w:pPr>
        <w:ind w:left="420"/>
      </w:pPr>
      <w:r>
        <w:t xml:space="preserve">e) Hinterbliebene der in Buchstaben a bis d genannten Personen bezüglich der Gewährung von Leistungen an Hinterbliebene.</w:t>
      </w:r>
    </w:p>
    <w:p>
      <w:r>
        <w:rPr>
          <w:color w:val="555555"/>
          <w:sz w:val="17"/>
        </w:rPr>
        <w:t xml:space="preserve">Zitiervorschlag: § 1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