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FPrAgrHwV (Bayern) — Ausbildungsrahmenplan, Ausbildungsberufsbild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Gliederung der Berufsausbildung „Fachpraktikerin Landwirtschaft/Fachpraktiker Landwirtschaft“ ergibt sich aus Anlage 1 .</w:t>
      </w:r>
    </w:p>
    <w:p>
      <w:r>
        <w:t xml:space="preserve">(2) Gegenstand der Berufsausbildung sind mindestens die in Anlage 1 aufgeführten Fertigkeiten, Kenntnisse und Fähigkeiten. Der Auszubildende hat zwei Schwerpunkte zu wählen, wobei entweder der Schwerpunkt Tierhaltung (Anlage 1 Nr. 3.1) oder der Schwerpunkt Pflanzenproduktion (Anlage 1 Nr. 3.2) verpflichtend zu wählen ist.</w:t>
      </w:r>
    </w:p>
    <w:p>
      <w:r>
        <w:t xml:space="preserve">(3) Findet die Ausbildung in einem Berufsbildungswerk oder in einer anderen außerbetrieblichen Ausbildungseinrichtung statt, sollen mindestens 26 Wochen außerhalb dieser Einrichtung in einem anerkannten Ausbildungsbetrieb durchgeführt werden.</w:t>
      </w:r>
    </w:p>
    <w:p>
      <w:r>
        <w:rPr>
          <w:color w:val="555555"/>
          <w:sz w:val="17"/>
        </w:rPr>
        <w:t xml:space="preserve">Zitiervorschlag: § 8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