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FPrAgrHwV (Bayern) — Übergang in einen anerkannten Ausbildungsberuf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Während der Berufsausbildung nach dieser Ausbildungsverordnung sollen die Beteiligten und die zuständige Stelle die Möglichkeit des Übergangs in die Ausbildung im jeweiligen anerkannten Ausbildungsberuf laufend prüfen.</w:t>
      </w:r>
    </w:p>
    <w:p>
      <w:r>
        <w:t xml:space="preserve">(2) Ein Übergang nach Abs. 1 bedarf der Zustimmung der oder des Auszubildenden, des gesetzlichen Vertreters und des Ausbildenden. Bei Förderung der Ausbildung durch die Bundesagentur für Arbeit oder einen anderen Rehabilitationsträger sind diese anzuhören.</w:t>
      </w:r>
    </w:p>
    <w:p>
      <w:r>
        <w:rPr>
          <w:color w:val="555555"/>
          <w:sz w:val="17"/>
        </w:rPr>
        <w:t xml:space="preserve">Zitiervorschlag: § 7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