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FPrAgrHwV (Bayern) — Eignung der Ausbildungsstätten</w:t>
      </w:r>
    </w:p>
    <w:p>
      <w:r>
        <w:rPr>
          <w:color w:val="555555"/>
          <w:sz w:val="18"/>
        </w:rPr>
        <w:t xml:space="preserve">Ausbildungsverordnung Fachpraktiker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Menschen mit Behinderung dürfen nach dieser Ausbildungsverordnung nur in dafür geeigneten Betrieben, in Berufsbildungswerken und anderen außerbetrieblichen Einrichtungen ausgebildet werden. Neben den in § 27 des Berufsbildungsgesetzes (BBiG) festgelegten Anforderungen muss die Ausbildungsstätte hinsichtlich der Räume, der Ausstattung und Einrichtung den besonderen Erfordernissen der Ausbildung von Menschen mit Behinderung gerecht werden.</w:t>
      </w:r>
    </w:p>
    <w:p>
      <w:r>
        <w:t xml:space="preserve">(2) Die besondere Betreuung und Förderung der Menschen mit Behinderung in der Ausbildungsstätte muss sichergestellt sein. Die Beschulung in einer jeweils geeigneten Fachklasse muss gewährleistet sein.</w:t>
      </w:r>
    </w:p>
    <w:p>
      <w:r>
        <w:t xml:space="preserve">(3) In Betrieben soll eine Ausbilderin oder ein Ausbilder nicht mehr als zwei, in Berufsbildungswerken und anderen außerbetrieblichen Einrichtungen nicht mehr als acht Auszubildende gleichzeitig ausbilden.</w:t>
      </w:r>
    </w:p>
    <w:p>
      <w:r>
        <w:rPr>
          <w:color w:val="555555"/>
          <w:sz w:val="17"/>
        </w:rPr>
        <w:t xml:space="preserve">Zitiervorschlag: § 4 FPrAgrHwV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https://recht.nulegal.eu/gesetze/FPrAgrHwV/4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