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FPrAgrHwV (Bayern) — Dauer der Ausbildung</w:t>
      </w:r>
    </w:p>
    <w:p>
      <w:r>
        <w:rPr>
          <w:color w:val="555555"/>
          <w:sz w:val="18"/>
        </w:rPr>
        <w:t xml:space="preserve">Ausbildungsverordnung Fachpraktiker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3 FPrAgrHwV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https://recht.nulegal.eu/gesetze/FPrAgrHwV/3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