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FPrAgrHwV (Bayern) — Inkrafttreten</w:t>
      </w:r>
    </w:p>
    <w:p>
      <w:r>
        <w:rPr>
          <w:color w:val="555555"/>
          <w:sz w:val="18"/>
        </w:rPr>
        <w:t xml:space="preserve">Ausbildungsverordnung Fachpraktiker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August 2018 in Kraft.</w:t>
      </w:r>
    </w:p>
    <w:p>
      <w:r>
        <w:rPr>
          <w:color w:val="555555"/>
          <w:sz w:val="17"/>
        </w:rPr>
        <w:t xml:space="preserve">Zitiervorschlag: § 25 FPrAgrHwV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https://recht.nulegal.eu/gesetze/FPrAgrHwV/25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