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FPrAgrHwV (Bayern) — Ausbildungsrahmenplan, Ausbildungsberufsbild</w:t>
      </w:r>
    </w:p>
    <w:p>
      <w:r>
        <w:rPr>
          <w:color w:val="555555"/>
          <w:sz w:val="18"/>
        </w:rPr>
        <w:t xml:space="preserve">Ausbildungsverordnung Fachpraktiker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Gliederung der Berufsausbildung „Fachpraktikerin Pferdewirtschaft/Fachpraktiker Pferdewirtschaft“ ergibt sich aus Anlage 4.</w:t>
      </w:r>
    </w:p>
    <w:p>
      <w:r>
        <w:t xml:space="preserve">(2) Gegenstand der Berufsausbildung sind mindestens die in Anlage 4 aufgeführten Fertigkeiten, Kenntnisse und Fähigkeiten.</w:t>
      </w:r>
    </w:p>
    <w:p>
      <w:r>
        <w:t xml:space="preserve">(3) Findet die Ausbildung in einem Berufsbildungswerk oder in einer anderen außerbetrieblichen Ausbildungseinrichtung statt, sollen mindestens 26 Wochen außerhalb dieser Einrichtung in einem anerkannten Ausbildungsbetrieb durchgeführt werden.</w:t>
      </w:r>
    </w:p>
    <w:p>
      <w:r>
        <w:rPr>
          <w:color w:val="555555"/>
          <w:sz w:val="17"/>
        </w:rPr>
        <w:t xml:space="preserve">Zitiervorschlag: § 21 FPrAgrHwV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https://recht.nulegal.eu/gesetze/FPrAgrHwV/21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