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FPrAgrHwV (Bayern) — Personenkreis</w:t>
      </w:r>
    </w:p>
    <w:p>
      <w:r>
        <w:rPr>
          <w:color w:val="555555"/>
          <w:sz w:val="18"/>
        </w:rPr>
        <w:t xml:space="preserve">Ausbildungsverordnung Fachpraktiker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Ausbildungsverordnung gilt für Menschen mit Behinderung nach § 2 des Neunten Buches Sozialgesetzbuch (SGB IX), für die wegen Art und Schwere ihrer Behinderung eine erfolgreiche Ausbildung in einem anerkannten Ausbildungsberuf nicht zu erwarten ist.</w:t>
      </w:r>
    </w:p>
    <w:p>
      <w:r>
        <w:t xml:space="preserve">(2) Hierüber muss eine Bestätigung des zuständigen Rehabilitationsträgers vorliegen, ausgestellt auf der Grundlage einer differenzierten Eignungsuntersuchung, damit der Ausbildungsvertrag in das Verzeichnis der Ausbildungsverhältnisse eingetragen werden kann.</w:t>
      </w:r>
    </w:p>
    <w:p>
      <w:r>
        <w:rPr>
          <w:color w:val="555555"/>
          <w:sz w:val="17"/>
        </w:rPr>
        <w:t xml:space="preserve">Zitiervorschlag: § 2 FPrAgrHwV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https://recht.nulegal.eu/gesetze/FPrAgrHwV/2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