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FPrAgrHwV (Bayern) — Ausbildungsberufe</w:t>
      </w:r>
    </w:p>
    <w:p>
      <w:r>
        <w:rPr>
          <w:color w:val="555555"/>
          <w:sz w:val="18"/>
        </w:rPr>
        <w:t xml:space="preserve">Ausbildungsverordnung Fachpraktiker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Nach dieser Ausbildungsverordnung erfolgt die Berufsausbildung</w:t>
      </w:r>
    </w:p>
    <w:p>
      <w:r>
        <w:t xml:space="preserve">1. zur Fachpraktikerin und zum Fachpraktiker Landwirtschaft,</w:t>
      </w:r>
    </w:p>
    <w:p>
      <w:r>
        <w:t xml:space="preserve">2. zur Werkerin und zum Werker im Gartenbau,</w:t>
      </w:r>
    </w:p>
    <w:p>
      <w:r>
        <w:t xml:space="preserve">3. zur Fachpraktikerin und zum Fachpraktiker Hauswirtschaft,</w:t>
      </w:r>
    </w:p>
    <w:p>
      <w:r>
        <w:t xml:space="preserve">4. zur Fachpraktikerin und zum Fachpraktiker Pferdewirtschaft.</w:t>
      </w:r>
    </w:p>
    <w:p>
      <w:r>
        <w:t xml:space="preserve">Wer eine Abschlussprüfung nach Maßgabe dieser Verordnung bestanden hat, kann die jeweilige in Satz 1 genannte Berufsbezeichnung führen. Bei der Berufsbezeichnung „Werkerin im Gartenbau/Werker im Gartenbau“ tritt ergänzend die Bezeichnung der Fachrichtung (§ 12 Abs. 1) hinzu.</w:t>
      </w:r>
    </w:p>
    <w:p>
      <w:r>
        <w:rPr>
          <w:color w:val="555555"/>
          <w:sz w:val="17"/>
        </w:rPr>
        <w:t xml:space="preserve">Zitiervorschlag: § 1 FPrAgrHwV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https://recht.nulegal.eu/gesetze/FPrAgrHwV/1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