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FPfZG — Bußgeldvorschriften</w:t>
      </w:r>
    </w:p>
    <w:p>
      <w:r>
        <w:rPr>
          <w:color w:val="555555"/>
          <w:sz w:val="18"/>
        </w:rPr>
        <w:t xml:space="preserve">Familienpflegezeitgesetz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4 Satz 1 eine dort genannte Bescheinigung nicht, nicht richtig, nicht vollständig oder nicht rechtzeitig erstellt,</w:t>
      </w:r>
    </w:p>
    <w:p>
      <w:pPr>
        <w:ind w:left="420"/>
      </w:pPr>
      <w:r>
        <w:t xml:space="preserve">2. entgegen § 5 Absatz 2 eine Mitteilung nicht, nicht richtig, nicht vollständig oder nicht rechtzeitig macht oder</w:t>
      </w:r>
    </w:p>
    <w:p>
      <w:pPr>
        <w:ind w:left="420"/>
      </w:pPr>
      <w:r>
        <w:t xml:space="preserve">3. entgegen § 8 Absatz 3 Nummer 4 eine Mitteilung nicht, nicht richtig, nicht vollständig oder nicht rechtzeitig macht.</w:t>
      </w:r>
    </w:p>
    <w:p>
      <w:r>
        <w:t xml:space="preserve">(2) Verwaltungsbehörde im Sinne des § 36 Absatz 1 Nummer 1 des Gesetzes über Ordnungswidrigkeiten ist das Bundesamt für Familie und zivilgesellschaftliche Aufgaben.</w:t>
      </w:r>
    </w:p>
    <w:p>
      <w:r>
        <w:t xml:space="preserve">(3) Die Ordnungswidrigkeit kann in den Fällen des Absatzes 1 Nummer 1 mit einer Geldbuße bis zu fünftausend Euro und in den Fällen des Absatzes 1 Nummer 2 mit einer Geldbuße bis zu tausend Euro geahndet werden.</w:t>
      </w:r>
    </w:p>
    <w:p>
      <w:r>
        <w:t xml:space="preserve">(4) Die Geldbußen fließen in die Kasse des Bundesamtes für Familie und zivilgesellschaftliche Aufgaben. Diese trägt abweichend von § 105 Absatz 2 des Gesetzes über Ordnungswidrigkeiten die notwendigen Auslagen. Sie ist auch ersatzpflichtig im Sinne des § 110 Absatz 4 des Gesetzes über Ordnungswidrigkeiten.</w:t>
      </w:r>
    </w:p>
    <w:p>
      <w:r>
        <w:rPr>
          <w:color w:val="555555"/>
          <w:sz w:val="17"/>
        </w:rPr>
        <w:t xml:space="preserve">Zitiervorschlag: § 12 FPfZG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https://recht.nulegal.eu/gesetze/FPfZG/12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