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FPersV — Werkstattkarte</w:t>
      </w:r>
    </w:p>
    <w:p>
      <w:r>
        <w:rPr>
          <w:color w:val="555555"/>
          <w:sz w:val="18"/>
        </w:rPr>
        <w:t xml:space="preserve">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Werkstattkarte wird nur erteilt, wenn der Antragsteller als Unternehmer oder die nach Gesetz, Satzung oder Gesellschaftsvertrag zur Vertretung berufenen Personen sowie die verantwortliche Fachkraft (Installateur) fachlich geeignet sind.</w:t>
      </w:r>
    </w:p>
    <w:p>
      <w:r>
        <w:t xml:space="preserve">(2) Der Antragsteller hat folgende Angaben zu machen und durch Unterlagen nachzuweisen:</w:t>
      </w:r>
    </w:p>
    <w:p>
      <w:pPr>
        <w:ind w:left="420"/>
      </w:pPr>
      <w:r>
        <w:t xml:space="preserve">1. Name, Anschrift und Sitz der Werkstatt, des Herstellers von Fahrtenschreibern oder des Fahrzeugherstellers,</w:t>
      </w:r>
    </w:p>
    <w:p>
      <w:pPr>
        <w:ind w:left="420"/>
      </w:pPr>
      <w:r>
        <w:t xml:space="preserve">2. Geburts- und Familienname, Vornamen, Tag und Ort der Geburt des Unternehmers oder der nach Gesetz, Satzung oder Gesellschaftsvertrag zur Vertretung berufenen Personen,</w:t>
      </w:r>
    </w:p>
    <w:p>
      <w:pPr>
        <w:ind w:left="420"/>
      </w:pPr>
      <w:r>
        <w:t xml:space="preserve">3. Geburts- und Familienname, Vorname, Tag und Ort der Geburt, aktuelle Wohnanschrift und Muttersprache der verantwortlichen Fachkraft, für die die Werkstattkarte beantragt wird,</w:t>
      </w:r>
    </w:p>
    <w:p>
      <w:pPr>
        <w:ind w:left="420"/>
      </w:pPr>
      <w:r>
        <w:t xml:space="preserve">4. Anerkennung oder Beauftragung der Werkstatt nach § 57b der Straßenverkehrs-Zulassungs-Ordnung,</w:t>
      </w:r>
    </w:p>
    <w:p>
      <w:pPr>
        <w:ind w:left="420"/>
      </w:pPr>
      <w:r>
        <w:t xml:space="preserve">5. Schulung der verantwortlichen Fachkraft, für die die Werkstattkarte beantragt wird, entsprechend der Fahrtenschreiber- und Kontrollgeräte-Schulungsrichtlinie, sowie</w:t>
      </w:r>
    </w:p>
    <w:p>
      <w:pPr>
        <w:ind w:left="420"/>
      </w:pPr>
      <w:r>
        <w:t xml:space="preserve">6. bestehendes Arbeitsverhältnis mit der verantwortlichen Fachkraft, für die die Werkstattkarte beantragt wird.</w:t>
      </w:r>
    </w:p>
    <w:p>
      <w:r>
        <w:t xml:space="preserve">(3) (entfällt)</w:t>
      </w:r>
    </w:p>
    <w:p>
      <w:r>
        <w:t xml:space="preserve">(4) Die zuständige Behörde oder Stelle stellt durch Abruf beim zentralen Fahrtenschreiberkartenregister sicher, dass die verantwortliche Fachkraft nur eine Werkstattkarte pro Arbeitsverhältnis erhält.</w:t>
      </w:r>
    </w:p>
    <w:p>
      <w:r>
        <w:t xml:space="preserve">(5) Die Werkstattkarte wird dem Unternehmen gegen Empfangsbestätigung ausgehändigt. Sie ist Eigentum des Unternehmens. Die zur Benutzung der Werkstattkarte erforderliche persönliche Identifikationsnummer wird der verantwortlichen Fachkraft an ihre Privatanschrift übersandt.</w:t>
      </w:r>
    </w:p>
    <w:p>
      <w:r>
        <w:t xml:space="preserve">(6) Die Gültigkeitsdauer der Werkstattkarte beträgt ein Jahr. Sie beginnt mit dem Datum der Personalisierung. § 5 Abs. 5 Satz 3 bis 5 gilt entsprechend.</w:t>
      </w:r>
    </w:p>
    <w:p>
      <w:r>
        <w:rPr>
          <w:color w:val="555555"/>
          <w:sz w:val="17"/>
        </w:rPr>
        <w:t xml:space="preserve">Zitiervorschlag: § 7 FPersV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https://recht.nulegal.eu/gesetze/FPersV/7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