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FPersV — Allgemeines</w:t>
      </w:r>
    </w:p>
    <w:p>
      <w:r>
        <w:rPr>
          <w:color w:val="555555"/>
          <w:sz w:val="18"/>
        </w:rPr>
        <w:t xml:space="preserve">Fahrpersonalverordnung</w:t>
      </w:r>
    </w:p>
    <w:p>
      <w:r>
        <w:rPr>
          <w:color w:val="555555"/>
          <w:sz w:val="18"/>
        </w:rPr>
        <w:t xml:space="preserve">Stand: 10.06.2019 (konsolidierte Textfassung, kein amtliches Inkrafttretensdatum)</w:t>
      </w:r>
    </w:p>
    <w:p>
      <w:r>
        <w:t xml:space="preserve">(1) Die zum Betrieb des digitalen Fahrtenschreibers erforderlichen Fahrtenschreiberkarten (Fahrer-, Werkstatt-, Unternehmens- und Kontrollkarten) werden nach den Mustern nach Artikel 1 Absatz 3 der Durchführungsverordnung (EU) 2016/799 der Kommission vom 18. März 2016 zur Durchführung der Verordnung (EU) Nr. 165/2014 des Europäischen Parlaments und des Rates zur Festlegung der Vorschriften über Bauart, Prüfung, Einbau, Betrieb und Reparatur von Fahrtenschreibern und ihren Komponenten (ABl. L 139 vom 26.5.2016, S. 1) in Verbindung mit dem Anhang I B Abschnitt IV der Verordnung (EWG) Nr. 3821/85 oder nach Artikel 1 Absatz 2 der Durchführungsverordnung (EU) 2016/799 in Verbindung mit dem Anhang 1 C Abschnitt 4 der Durchführungsverordnung (EU) 2016/799 jeweils in Verbindung mit Anlage 3 hergestellt. Fahrer-, Werkstatt- und Unternehmenskarten werden auf Antrag erteilt. Antragsberechtigt sind:</w:t>
      </w:r>
    </w:p>
    <w:p>
      <w:pPr>
        <w:ind w:left="420"/>
      </w:pPr>
      <w:r>
        <w:t xml:space="preserve">1. für die Fahrerkarte</w:t>
      </w:r>
    </w:p>
    <w:p>
      <w:pPr>
        <w:ind w:left="780"/>
      </w:pPr>
      <w:r>
        <w:t xml:space="preserve">a) Inhaber einer gültigen inländischen Fahrerlaubnis nach Muster 1 der Anlage 8 der Fahrerlaubnis-Verordnung in der jeweils geltenden Fassung,</w:t>
      </w:r>
    </w:p>
    <w:p>
      <w:pPr>
        <w:ind w:left="780"/>
      </w:pPr>
      <w:r>
        <w:t xml:space="preserve">b) im Übrigen Inhaber einer Fahrerlaubnis eines Mitgliedstaates der Europäischen Union oder eines anderen Vertragsstaats des Abkommens über den Europäischen Wirtschaftsraum, die dazu berechtigt, Fahrzeuge zu führen, für die Lenk- und Ruhezeiten nach der Verordnung (EG) Nr. 561/2006 beziehungsweise § 1 dieser Verordnung zu beachten sind,</w:t>
      </w:r>
    </w:p>
    <w:p>
      <w:pPr>
        <w:ind w:left="420"/>
      </w:pPr>
      <w:r>
        <w:t xml:space="preserve">2. für die Werkstattkarte die nach § 57b der Straßenverkehrs-Zulassungs-Ordnung anerkannten oder beauftragten Werkstätten, Hersteller von Fahrtenschreibern sowie Fahrzeughersteller,</w:t>
      </w:r>
    </w:p>
    <w:p>
      <w:pPr>
        <w:ind w:left="420"/>
      </w:pPr>
      <w:r>
        <w:t xml:space="preserve">3. für die Unternehmenskarte Unternehmen, deren Fahrpersonal Beförderungen durchführt, die unter die Verordnung (EG) Nr. 561/2006 fallen, oder das Lenk- und Ruhezeiten nach § 1 dieser Verordnung einzuhalten hat.</w:t>
      </w:r>
    </w:p>
    <w:p>
      <w:r>
        <w:t xml:space="preserve">Erfolgt der Antrag auf unpersönlichem Weg, ist eine Kopie der nach den §§ 5, 7 oder § 9 jeweils erforderlichen Unterlagen beizufügen. Im Rahmen des Antragsverfahrens hat für Fahrtenschreiberkarten nach Nummer 1 eine Überprüfung der Identität des Antragstellers sowie der Übereinstimmung der vorgelegten Kopien mit den Originalen stattzufinden.</w:t>
      </w:r>
    </w:p>
    <w:p>
      <w:r>
        <w:t xml:space="preserve">(2) Die Fahrtenschreiberkarten werden von den nach Landesrecht zuständigen Behörden oder Stellen ausgegeben.</w:t>
      </w:r>
    </w:p>
    <w:p>
      <w:r>
        <w:t xml:space="preserve">(3) Der Antrag auf Erneuerung der Fahrer- und Unternehmenskarte darf frühestens sechs Monate, der auf Erneuerung der Werkstattkarte frühestens einen Monat vor Ablauf der Gültigkeit der Karte gestellt werden. Den Anträgen sind die nach den §§ 5, 7 oder § 9 jeweils erforderlichen Unterlagen beizufügen. Inhaber einer Werkstattkarte haben spätestens nach drei Jahren eine aktuelle Bescheinigung über die Anerkennung oder Beauftragung der Werkstatt nach § 57b der Straßenverkehrs-Zulassungs-Ordnung und einen Nachweis über eine erneute Schulung im Sinne des § 7 Abs. 2 Nr. 5 vorzulegen. Die in Satz 3 genannten Fristen beginnen mit dem Datum des letzten Nachweises. Die in Artikel 25 Absatz 2 Satz 1 und 2 und in Artikel 29 Absatz 4 Satz 2 der Verordnung (EU) Nr. 165/2014 genannten Fristen beginnen erst mit der vollständigen Vorlage aller nach den §§ 5, 7 oder § 9 erforderlichen Antragsunterlagen und Angaben.</w:t>
      </w:r>
    </w:p>
    <w:p>
      <w:r>
        <w:t xml:space="preserve">(4) Wird eine Fahrtenschreiberkarte wegen Beschädigung, Fehlfunktion, Verlust oder Diebstahl einer vorhandenen Karte beantragt, hat der Antragsteller der ausstellenden Behörde oder Stelle vorzulegen:</w:t>
      </w:r>
    </w:p>
    <w:p>
      <w:pPr>
        <w:ind w:left="420"/>
      </w:pPr>
      <w:r>
        <w:t xml:space="preserve">1. bei Verlust eine schriftliche Erklärung über den Verlust,</w:t>
      </w:r>
    </w:p>
    <w:p>
      <w:pPr>
        <w:ind w:left="420"/>
      </w:pPr>
      <w:r>
        <w:t xml:space="preserve">2. bei Diebstahl den Nachweis einer Anzeige,</w:t>
      </w:r>
    </w:p>
    <w:p>
      <w:pPr>
        <w:ind w:left="420"/>
      </w:pPr>
      <w:r>
        <w:t xml:space="preserve">3. bei Beschädigung oder Fehlfunktion die zu erneuernde Karte.</w:t>
      </w:r>
    </w:p>
    <w:p>
      <w:r>
        <w:t xml:space="preserve">Dem Antrag sind die nach den §§ 5, 7 oder § 9 jeweils erforderlichen Unterlagen beizufügen. Der Inhaber der Fahrtenschreiberkarte hat auf Verlangen der Behörde oder Stelle, welche die Ersatzkarte ausstellt, eine Versicherung an Eides statt abzugeben, dass und aus welchen Gründen er die Fahrtenschreiberkarte nicht zurückgeben kann. Mit Ausstellung der Ersatzkarte verliert die ersetzte Karte ihre Gültigkeit. Eine wiederaufgefundene Karte ist der ausstellenden Behörde oder Stelle zurückzugeben. Beträgt die Restlaufzeit der zu ersetzenden Karte weniger als sechs Monate, ist die Karte zu erneuern. Absatz 3 Satz 5 gilt mit der Maßgabe, dass die Fristen erst beginnen, wenn alle erforderlichen Antragsunterlagen und Angaben vorliegen und die ausstellende Behörde oder Stelle Kenntnis von der Kartennummer erhält.</w:t>
      </w:r>
    </w:p>
    <w:p>
      <w:r>
        <w:t xml:space="preserve">(5) Bei Verlust einer Fahrtenschreiberkarte unterrichtet der Karteninhaber unverzüglich die Behörde oder Stelle, welche die Karte erteilt hat. Die Behörde oder Stelle meldet den Verlust dem Fahrtenschreiberkartenregister beim Kraftfahrt-Bundesamt.</w:t>
      </w:r>
    </w:p>
    <w:p>
      <w:r>
        <w:rPr>
          <w:color w:val="555555"/>
          <w:sz w:val="17"/>
        </w:rPr>
        <w:t xml:space="preserve">Zitiervorschlag: § 4 FPersV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https://recht.nulegal.eu/gesetze/FPersV/4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