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FPersV — Zuwiderhandlungen gegen die Verordnung (EU) Nr. 165/2014</w:t>
      </w:r>
    </w:p>
    <w:p>
      <w:r>
        <w:rPr>
          <w:color w:val="555555"/>
          <w:sz w:val="18"/>
        </w:rPr>
        <w:t xml:space="preserve">Fahrpersonalverordnung</w:t>
      </w:r>
    </w:p>
    <w:p>
      <w:r>
        <w:rPr>
          <w:color w:val="555555"/>
          <w:sz w:val="18"/>
        </w:rPr>
        <w:t xml:space="preserve">Stand: 10.06.2019 (konsolidierte Textfassung, kein amtliches Inkrafttretensdatum)</w:t>
      </w:r>
    </w:p>
    <w:p>
      <w:r>
        <w:t xml:space="preserve">(1) Ordnungswidrig im Sinne des § 8 Absatz 1 Nummer 1 Buchstabe b des Fahrpersonalgesetzes handelt, wer als Unternehmer gegen die Verordnung (EU) Nr. 165/2014 des Europäischen Parlaments und des Rates vom 4. Februar 2014 über Fahrtenschreiber im Straßenverkehr, zur Aufhebung der Verordnung (EWG) Nr. 3821/85 des Rates über das Kontrollgerät im Straßenverkehr und zur Änderung der Verordnung (EG) Nr. 561/2006 des Europäischen Parlaments und des Rates zur Harmonisierung bestimmter Sozialvorschriften im Straßenverkehr (ABl. L 60 vom 28.2.2014, S. 1) verstößt, indem er vorsätzlich oder fahrlässig</w:t>
      </w:r>
    </w:p>
    <w:p>
      <w:pPr>
        <w:ind w:left="420"/>
      </w:pPr>
      <w:r>
        <w:t xml:space="preserve">1. entgegen Artikel 3 Absatz 1 einen Fahrtenschreiber nicht einbaut oder nicht benutzt,</w:t>
      </w:r>
    </w:p>
    <w:p>
      <w:pPr>
        <w:ind w:left="420"/>
      </w:pPr>
      <w:r>
        <w:t xml:space="preserve">2. entgegen Artikel 32 Absatz 1 für das einwandfreie Funktionieren des Fahrtenschreibers oder die ordnungsgemäße Benutzung des Fahrtenschreibers oder der Fahrerkarte oder des Schaublattes nicht sorgt,</w:t>
      </w:r>
    </w:p>
    <w:p>
      <w:pPr>
        <w:ind w:left="420"/>
      </w:pPr>
      <w:r>
        <w:t xml:space="preserve">2a. entgegen Artikel 32 Absatz 4 das Fahrzeug mit mehr als nur einem einzigen Fahrtenschreiber ausrüstet,</w:t>
      </w:r>
    </w:p>
    <w:p>
      <w:pPr>
        <w:ind w:left="420"/>
      </w:pPr>
      <w:r>
        <w:t xml:space="preserve">3. entgegen Artikel 33 Absatz 1 Unterabsatz 2 Satz 1 eine ausreichende Anzahl Schaublätter nicht aushändigt,</w:t>
      </w:r>
    </w:p>
    <w:p>
      <w:pPr>
        <w:ind w:left="420"/>
      </w:pPr>
      <w:r>
        <w:t xml:space="preserve">4. entgegen Artikel 33 Absatz 1 Unterabsatz 2 Satz 2 ein Schaublatt aushändigt, das sich für den eingebauten Fahrtenschreiber nicht eignet,</w:t>
      </w:r>
    </w:p>
    <w:p>
      <w:pPr>
        <w:ind w:left="420"/>
      </w:pPr>
      <w:r>
        <w:t xml:space="preserve">5. entgegen Artikel 33 Absatz 1 Unterabsatz 3 nicht dafür Sorge trägt, dass der dort genannte Ausdruck ordnungsgemäß erfolgen kann,</w:t>
      </w:r>
    </w:p>
    <w:p>
      <w:pPr>
        <w:ind w:left="420"/>
      </w:pPr>
      <w:r>
        <w:t xml:space="preserve">5a. entgegen Artikel 33 Absatz 2 Satz 1 ein Schaublatt oder einen Ausdruck nicht oder nicht in der vorgeschriebenen Weise aufbewahrt,</w:t>
      </w:r>
    </w:p>
    <w:p>
      <w:pPr>
        <w:ind w:left="420"/>
      </w:pPr>
      <w:r>
        <w:t xml:space="preserve">6. entgegen Artikel 33 Absatz 2 Satz 3 ein Schaublatt nicht oder nicht rechtzeitig vorlegt oder nicht oder nicht rechtzeitig aushändigt oder</w:t>
      </w:r>
    </w:p>
    <w:p>
      <w:pPr>
        <w:ind w:left="420"/>
      </w:pPr>
      <w:r>
        <w:t xml:space="preserve">7. entgegen Artikel 37 Absatz 1 Unterabsatz 1, auch in Verbindung mit Unterabsatz 2, eine Reparatur nicht, nicht richtig oder nicht rechtzeitig durchführen lässt.</w:t>
      </w:r>
    </w:p>
    <w:p>
      <w:r>
        <w:t xml:space="preserve">(2) Ordnungswidrig im Sinne des § 8 Absatz 1 Nummer 2 Buchstabe b des Fahrpersonalgesetzes handelt, wer als Fahrer gegen die Verordnung (EU) Nr. 165/2014 verstößt, indem er vorsätzlich oder fahrlässig</w:t>
      </w:r>
    </w:p>
    <w:p>
      <w:pPr>
        <w:ind w:left="420"/>
      </w:pPr>
      <w:r>
        <w:t xml:space="preserve">1. entgegen Artikel 3 Absatz 1 einen Fahrtenschreiber nicht benutzt,</w:t>
      </w:r>
    </w:p>
    <w:p>
      <w:pPr>
        <w:ind w:left="420"/>
      </w:pPr>
      <w:r>
        <w:t xml:space="preserve">1a. entgegen Artikel 27 Absatz 2 eine andere Fahrerkarte, eine defekte Fahrerkarte oder eine Fahrerkarte, deren Gültigkeit abgelaufen ist, benutzt,</w:t>
      </w:r>
    </w:p>
    <w:p>
      <w:pPr>
        <w:ind w:left="420"/>
      </w:pPr>
      <w:r>
        <w:t xml:space="preserve">1b. entgegen Artikel 29 Absatz 5 die Fahrt ohne Fahrerkarte fortsetzt,</w:t>
      </w:r>
    </w:p>
    <w:p>
      <w:pPr>
        <w:ind w:left="420"/>
      </w:pPr>
      <w:r>
        <w:t xml:space="preserve">2. entgegen Artikel 32 Absatz 1 für das einwandfreie Funktionieren des Fahrtenschreibers oder die ordnungsgemäße Benutzung des Fahrtenschreibers oder der Fahrerkarte oder des Schaublattes nicht sorgt,</w:t>
      </w:r>
    </w:p>
    <w:p>
      <w:pPr>
        <w:ind w:left="420"/>
      </w:pPr>
      <w:r>
        <w:t xml:space="preserve">3. entgegen Artikel 33 Absatz 1 Unterabsatz 3 nicht dafür Sorge trägt, dass der dort genannte Ausdruck ordnungsgemäß erfolgen kann,</w:t>
      </w:r>
    </w:p>
    <w:p>
      <w:pPr>
        <w:ind w:left="420"/>
      </w:pPr>
      <w:r>
        <w:t xml:space="preserve">4. entgegen Artikel 34 Absatz 1 Satz 1 ein Schaublatt oder eine Fahrerkarte nicht oder nicht rechtzeitig benutzt,</w:t>
      </w:r>
    </w:p>
    <w:p>
      <w:pPr>
        <w:ind w:left="420"/>
      </w:pPr>
      <w:r>
        <w:t xml:space="preserve">5. entgegen Artikel 34 Absatz 1 Satz 2 ein Schaublatt oder eine Fahrerkarte entnimmt,</w:t>
      </w:r>
    </w:p>
    <w:p>
      <w:pPr>
        <w:ind w:left="420"/>
      </w:pPr>
      <w:r>
        <w:t xml:space="preserve">6. entgegen Artikel 34 Absatz 1 Satz 3 ein Schaublatt oder eine Fahrerkarte verwendet,</w:t>
      </w:r>
    </w:p>
    <w:p>
      <w:pPr>
        <w:ind w:left="420"/>
      </w:pPr>
      <w:r>
        <w:t xml:space="preserve">7. entgegen Artikel 34 Absatz 3 Unterabsatz 1, Absatz 4 Unterabsatz 2 oder Absatz 6 Buchstabe e eine Eintragung oder eine Änderung nicht, nicht richtig, nicht vollständig, nicht in der vorgeschriebenen Weise oder nicht vor Fahrtantritt vornimmt,</w:t>
      </w:r>
    </w:p>
    <w:p>
      <w:pPr>
        <w:ind w:left="420"/>
      </w:pPr>
      <w:r>
        <w:t xml:space="preserve">8. entgegen Artikel 34 Absatz 4 Unterabsatz 1 nicht sicherstellt, dass die Fahrerkarte im richtigen Steckplatz eingeschoben ist,</w:t>
      </w:r>
    </w:p>
    <w:p>
      <w:pPr>
        <w:ind w:left="420"/>
      </w:pPr>
      <w:r>
        <w:t xml:space="preserve">9. entgegen Artikel 34 Absatz 5 Buchstabe a nicht darauf achtet, dass die Zeitmarkierung mit der dort genannten Zeit übereinstimmt,</w:t>
      </w:r>
    </w:p>
    <w:p>
      <w:pPr>
        <w:ind w:left="420"/>
      </w:pPr>
      <w:r>
        <w:t xml:space="preserve">10. entgegen Artikel 34 Absatz 5 Buchstabe b die Schaltvorrichtung des Kontrollgeräts nicht, nicht richtig oder nicht zu Beginn der dort genannten Zeiten betätigt,</w:t>
      </w:r>
    </w:p>
    <w:p>
      <w:pPr>
        <w:ind w:left="420"/>
      </w:pPr>
      <w:r>
        <w:t xml:space="preserve">11. entgegen Artikel 34 Absatz 6 Buchstabe a bis c oder Buchstabe d eine dort genannte Angabe nicht, nicht richtig, nicht vollständig oder nicht rechtzeitig einträgt,</w:t>
      </w:r>
    </w:p>
    <w:p>
      <w:pPr>
        <w:ind w:left="420"/>
      </w:pPr>
      <w:r>
        <w:t xml:space="preserve">12. entgegen Artikel 34 Absatz 7 Unterabsatz 1 Satz 1 ein Symbol nicht, nicht richtig oder nicht rechtzeitig eingibt,</w:t>
      </w:r>
    </w:p>
    <w:p>
      <w:pPr>
        <w:ind w:left="420"/>
      </w:pPr>
      <w:r>
        <w:t xml:space="preserve">13. entgegen Artikel 35 Absatz 2 einen Ausdruck nicht oder nicht rechtzeitig fertigt oder eine dort genannte Angabe oder eine dort genannte Zeit nicht, nicht richtig, nicht vollständig oder nicht rechtzeitig einträgt oder eine Unterschrift nicht oder nicht rechtzeitig anbringt,</w:t>
      </w:r>
    </w:p>
    <w:p>
      <w:pPr>
        <w:ind w:left="420"/>
      </w:pPr>
      <w:r>
        <w:t xml:space="preserve">14. entgegen Artikel 36 Absatz 1 oder 2 ein Schaublatt, die Fahrerkarte, einen Ausdruck oder eine handschriftliche Aufzeichnung nicht oder nicht rechtzeitig vorlegt oder</w:t>
      </w:r>
    </w:p>
    <w:p>
      <w:pPr>
        <w:ind w:left="420"/>
      </w:pPr>
      <w:r>
        <w:t xml:space="preserve">15. entgegen Artikel 37 Absatz 2 eine dort genannte Angabe nicht, nicht richtig, nicht vollständig oder nicht für die vorgeschriebene Dauer vermerkt.</w:t>
      </w:r>
    </w:p>
    <w:p>
      <w:r>
        <w:t xml:space="preserve">(3) Ordnungswidrig im Sinne des § 8 Absatz 1 Nummer 1 Buchstabe b, Nummer 4 Buchstabe b des Fahrpersonalgesetzes handelt, wer als Einbaubetriebsinhaber, Werkstattinhaber oder Fahrzeughersteller vorsätzlich oder fahrlässig entgegen Artikel 22 Absatz 1 der Verordnung (EU) Nr. 165/2014 einen Fahrtenschreiber einbaut oder repariert.</w:t>
      </w:r>
    </w:p>
    <w:p>
      <w:r>
        <w:t xml:space="preserve">(4) Ordnungswidrig im Sinne des § 8 Abs. 1 Nr. 1 Buchstabe b, Nr. 2 Buchstabe b oder Nr. 4 Buchstabe b des Fahrpersonalgesetzes handelt, wer als Unternehmer, Fahrer, Werkstattinhaber oder als Installateur vorsätzlich oder fahrlässig entgegen Artikel 32 Absatz 3 der Verordnung (EU) Nr. 165/2014 Aufzeichnungen auf dem Schaublatt verfälscht, verschleiert, unterdrückt oder vernichtet oder Speicherinhalte des Fahrtenschreibers oder der Fahrerkarte oder die ausgedruckten Dokumente von dem Fahrtenschreiber verfälscht, verschleiert, unterdrückt oder vernichtet oder eine Einrichtung hierfür im Fahrzeug bereithält.</w:t>
      </w:r>
    </w:p>
    <w:p>
      <w:r>
        <w:t xml:space="preserve">(5) Ordnungswidrig im Sinne des § 8 Absatz 1 Nummer 4 Buchstabe b des Fahrpersonalgesetzes handelt, wer als Werkstattinhaber vorsätzlich oder fahrlässig entgegen Artikel 23 Absatz 4 Satz 1 der Verordnung (EU) Nr. 165/2014 die Nachprüfungsberichte ab der Erstellung nicht mindestens zwei Jahre lang aufbewahrt.</w:t>
      </w:r>
    </w:p>
    <w:p>
      <w:r>
        <w:rPr>
          <w:color w:val="555555"/>
          <w:sz w:val="17"/>
        </w:rPr>
        <w:t xml:space="preserve">Zitiervorschlag: § 23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