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FPersV — Zuwiderhandlungen gegen das AETR</w:t>
      </w:r>
    </w:p>
    <w:p>
      <w:r>
        <w:rPr>
          <w:color w:val="555555"/>
          <w:sz w:val="18"/>
        </w:rPr>
        <w:t xml:space="preserve">Fahrpersonalverordnung</w:t>
      </w:r>
    </w:p>
    <w:p>
      <w:r>
        <w:rPr>
          <w:color w:val="555555"/>
          <w:sz w:val="18"/>
        </w:rPr>
        <w:t xml:space="preserve">Stand: 10.06.2019 (konsolidierte Textfassung, kein amtliches Inkrafttretensdatum)</w:t>
      </w:r>
    </w:p>
    <w:p>
      <w:r>
        <w:t xml:space="preserve">(1) Ordnungswidrig im Sinne des § 8 Absatz 1 Nummer 1 Buchstabe b des Fahrpersonalgesetzes handelt, wer als Unternehmer gegen das Europäische Übereinkommen über die Arbeit des im internationalen Straßenverkehr beschäftigten Fahrpersonals (AETR) in der Fassung der Bekanntmachung vom 31. Juli 1985 (BGBl. 1985 II S. 889), das zuletzt durch Artikel 1 des Gesetzes vom 2. November 2011 (BGBl. 2011 II S. 1095) geändert worden ist, verstößt, indem er vorsätzlich oder fahrlässig</w:t>
      </w:r>
    </w:p>
    <w:p>
      <w:pPr>
        <w:ind w:left="420"/>
      </w:pPr>
      <w:r>
        <w:t xml:space="preserve">1. entgegen Artikel 5 einen Fahrer einsetzt, der die dort genannten Voraussetzungen nicht erfüllt,</w:t>
      </w:r>
    </w:p>
    <w:p>
      <w:pPr>
        <w:ind w:left="420"/>
      </w:pPr>
      <w:r>
        <w:t xml:space="preserve">2. entgegen Artikel 11 Absatz 1 in Verbindung mit Artikel 6 Absatz 1 Satz 1, Absatz 2 oder Absatz 3, Artikel 7 Absatz 1 oder Artikel 8 Absatz 1, 2 Satz 1, Absatz 3, 5, 6 Buchstabe a oder Buchstabe c Satz 1, 3 oder Satz 4 oder Absatz 7 den Fahrbetrieb nicht oder nicht richtig organisiert,</w:t>
      </w:r>
    </w:p>
    <w:p>
      <w:pPr>
        <w:ind w:left="420"/>
      </w:pPr>
      <w:r>
        <w:t xml:space="preserve">3. entgegen Artikel 11 Absatz 2 Satz 2 einen festgestellten Verstoß gegen das Übereinkommen nicht oder nicht rechtzeitig abstellt oder eine dort genannte Maßnahme nicht oder nicht rechtzeitig trifft,</w:t>
      </w:r>
    </w:p>
    <w:p>
      <w:pPr>
        <w:ind w:left="420"/>
      </w:pPr>
      <w:r>
        <w:t xml:space="preserve">4. entgegen Artikel 10 des Anhangs für das einwandfreie Funktionieren oder die ordnungsgemäße Benutzung des Kontrollgerätes oder der Fahrerkarte nicht sorgt,</w:t>
      </w:r>
    </w:p>
    <w:p>
      <w:pPr>
        <w:ind w:left="420"/>
      </w:pPr>
      <w:r>
        <w:t xml:space="preserve">5. entgegen Artikel 11 Absatz 1 des Anhangs ein dort genanntes Schaublatt nicht oder nicht richtig aushändigt oder nicht dafür Sorge trägt, dass ein dort genannter Ausdruck erfolgen kann,</w:t>
      </w:r>
    </w:p>
    <w:p>
      <w:pPr>
        <w:ind w:left="420"/>
      </w:pPr>
      <w:r>
        <w:t xml:space="preserve">6. entgegen Artikel 11 Absatz 2 Buchstabe a Satz 1 des Anhangs ein Schaublatt oder eine Kopie nicht oder nicht mindestens ein Jahr aufbewahrt,</w:t>
      </w:r>
    </w:p>
    <w:p>
      <w:pPr>
        <w:ind w:left="420"/>
      </w:pPr>
      <w:r>
        <w:t xml:space="preserve">7. entgegen Artikel 11 Absatz 2 Buchstabe a Satz 3 des Anhangs ein Schaublatt nicht oder nicht rechtzeitig aushändigt,</w:t>
      </w:r>
    </w:p>
    <w:p>
      <w:pPr>
        <w:ind w:left="420"/>
      </w:pPr>
      <w:r>
        <w:t xml:space="preserve">8. entgegen Artikel 11 Absatz 2 Buchstabe b Ziffer ii des Anhangs nicht sicherstellt, dass alle Daten aus der Fahrzeugeinheit und der Fahrerkarte heruntergeladen werden oder mindestens zwölf Monate aufbewahrt werden und die Daten auf Verlangen zur Verfügung stehen,</w:t>
      </w:r>
    </w:p>
    <w:p>
      <w:pPr>
        <w:ind w:left="420"/>
      </w:pPr>
      <w:r>
        <w:t xml:space="preserve">9. entgegen Artikel 12 Absatz 8 Satz 1 des Anhangs eine Aufzeichnung auf dem Schaublatt, den Speicherinhalt des Kontrollgeräts oder der Fahrerkarte oder ein ausgedrucktes Dokument verfälscht, unterdrückt oder vernichtet oder</w:t>
      </w:r>
    </w:p>
    <w:p>
      <w:pPr>
        <w:ind w:left="420"/>
      </w:pPr>
      <w:r>
        <w:t xml:space="preserve">10. entgegen Artikel 13 Absatz 1 Unterabsatz 1 des Anhangs eine Reparatur nicht oder nicht rechtzeitig durchführen lässt.</w:t>
      </w:r>
    </w:p>
    <w:p>
      <w:r>
        <w:t xml:space="preserve">(2) Ordnungswidrig im Sinne des § 8 Absatz 1 Nummer 2 Buchstabe b des Fahrpersonalgesetzes handelt, wer als Fahrer gegen das Europäische Übereinkommen über die Arbeit des im internationalen Straßenverkehr beschäftigten Fahrpersonals (AETR) verstößt, indem er vorsätzlich oder fahrlässig</w:t>
      </w:r>
    </w:p>
    <w:p>
      <w:pPr>
        <w:ind w:left="420"/>
      </w:pPr>
      <w:r>
        <w:t xml:space="preserve">1. entgegen Artikel 5 ein Fahrzeug führt, ohne das dort festgelegte Mindestalter erreicht zu haben oder ohne einer dort festgesetzten Anforderung zu entsprechen,</w:t>
      </w:r>
    </w:p>
    <w:p>
      <w:pPr>
        <w:ind w:left="420"/>
      </w:pPr>
      <w:r>
        <w:t xml:space="preserve">2. entgegen Artikel 6 Absatz 1 Satz 1, Absatz 2 oder Absatz 3, Artikel 7 Absatz 1 oder Artikel 8 Absatz 1, 2, 5, 6 oder 7 oder Artikel 8bis eine Lenkzeit, eine Unterbrechung oder eine Ruhezeit nicht einhält,</w:t>
      </w:r>
    </w:p>
    <w:p>
      <w:pPr>
        <w:ind w:left="420"/>
      </w:pPr>
      <w:r>
        <w:t xml:space="preserve">3. entgegen Artikel 6 Absatz 5 Satz 1 eine dort genannte Zeit nicht oder nicht richtig festhält,</w:t>
      </w:r>
    </w:p>
    <w:p>
      <w:pPr>
        <w:ind w:left="420"/>
      </w:pPr>
      <w:r>
        <w:t xml:space="preserve">4. entgegen Artikel 9 Satz 2 Art oder Grund einer Abweichung nicht, nicht richtig oder nicht rechtzeitig vermerkt,</w:t>
      </w:r>
    </w:p>
    <w:p>
      <w:pPr>
        <w:ind w:left="420"/>
      </w:pPr>
      <w:r>
        <w:t xml:space="preserve">5. entgegen Artikel 10 des Anhangs für das einwandfreie Funktionieren und die ordnungsgemäße Benutzung des Kontrollgerätes sowie der Fahrerkarte nicht sorgt,</w:t>
      </w:r>
    </w:p>
    <w:p>
      <w:pPr>
        <w:ind w:left="420"/>
      </w:pPr>
      <w:r>
        <w:t xml:space="preserve">6. entgegen Artikel 11 Absatz 1 Unterabsatz 2 des Anhangs nicht dafür Sorge trägt, dass ein dort genannter Ausdruck erfolgen kann,</w:t>
      </w:r>
    </w:p>
    <w:p>
      <w:pPr>
        <w:ind w:left="420"/>
      </w:pPr>
      <w:r>
        <w:t xml:space="preserve">7. entgegen Artikel 12 Absatz 1 Unterabsatz 1 Satz 1 oder Unterabsatz 2 des Anhangs ein angeschmutztes oder beschädigtes Schaublatt verwendet oder dem Reserveblatt das beschädigte Schaublatt nicht, nicht richtig oder nicht rechtzeitig beifügt,</w:t>
      </w:r>
    </w:p>
    <w:p>
      <w:pPr>
        <w:ind w:left="420"/>
      </w:pPr>
      <w:r>
        <w:t xml:space="preserve">8. entgegen Artikel 12 Absatz 2 Buchstabe a Satz 1 des Anhangs ein Schaublatt oder eine Fahrerkarte nicht oder nicht rechtzeitig benutzt,</w:t>
      </w:r>
    </w:p>
    <w:p>
      <w:pPr>
        <w:ind w:left="420"/>
      </w:pPr>
      <w:r>
        <w:t xml:space="preserve">9. entgegen Artikel 12 Absatz 2 Buchstabe a Satz 2 oder Satz 3 des Anhangs ein Schaublatt oder eine Fahrerkarte entnimmt oder über den dort genannten Zeitraum hinaus verwendet,</w:t>
      </w:r>
    </w:p>
    <w:p>
      <w:pPr>
        <w:ind w:left="420"/>
      </w:pPr>
      <w:r>
        <w:t xml:space="preserve">10. entgegen Artikel 12 Absatz 2 Buchstabe b oder Buchstabe c oder Absatz 5 Buchstabe e des Anhangs eine Eintragung oder eine Änderung nicht, nicht richtig, nicht vollständig, nicht in der vorgeschriebenen Weise oder nicht vor Fahrtantritt vornimmt,</w:t>
      </w:r>
    </w:p>
    <w:p>
      <w:pPr>
        <w:ind w:left="420"/>
      </w:pPr>
      <w:r>
        <w:t xml:space="preserve">10a. entgegen Artikel 12 Absatz 3 zweiter Gedankenstrich des Anhangs die Schaltvorrichtung nicht richtig betätigt,</w:t>
      </w:r>
    </w:p>
    <w:p>
      <w:pPr>
        <w:ind w:left="420"/>
      </w:pPr>
      <w:r>
        <w:t xml:space="preserve">10b. entgegen Artikel 12 Absatz 5 Buchstabe a bis c oder Buchstabe d des Anhangs eine dort genannte Angabe nicht, nicht richtig, nicht vollständig, nicht in der vorgeschriebenen Weise oder nicht rechtzeitig einträgt,</w:t>
      </w:r>
    </w:p>
    <w:p>
      <w:pPr>
        <w:ind w:left="420"/>
      </w:pPr>
      <w:r>
        <w:t xml:space="preserve">10c. entgegen Artikel 12 Absatz 5bis Satz 1 des Anhangs ein Symbol nicht richtig eingibt,</w:t>
      </w:r>
    </w:p>
    <w:p>
      <w:pPr>
        <w:ind w:left="420"/>
      </w:pPr>
      <w:r>
        <w:t xml:space="preserve">11. entgegen Artikel 12 Absatz 7 Buchstabe a oder Buchstabe b des Anhangs ein dort genanntes Schaublatt, eine Fahrerkarte oder einen dort genannten Ausdruck nicht oder nicht rechtzeitig vorlegt,</w:t>
      </w:r>
    </w:p>
    <w:p>
      <w:pPr>
        <w:ind w:left="420"/>
      </w:pPr>
      <w:r>
        <w:t xml:space="preserve">11a. entgegen Artikel 12 Absatz 8 Satz 1 des Anhangs eine Aufzeichnung auf dem Schaublatt, den Speicherinhalt des Kontrollgeräts oder der Fahrerkarte oder ein ausgedrucktes Dokument verfälscht, unterdrückt oder vernichtet,</w:t>
      </w:r>
    </w:p>
    <w:p>
      <w:pPr>
        <w:ind w:left="420"/>
      </w:pPr>
      <w:r>
        <w:t xml:space="preserve">12. entgegen Artikel 13 Absatz 2 Buchstabe a des Anhangs eine dort genannte Angabe nicht, nicht richtig, nicht vollständig, nicht in der vorgeschriebenen Weise oder nicht rechtzeitig vermerkt oder</w:t>
      </w:r>
    </w:p>
    <w:p>
      <w:pPr>
        <w:ind w:left="420"/>
      </w:pPr>
      <w:r>
        <w:t xml:space="preserve">13. entgegen Artikel 13 Absatz 2 Buchstabe b Ziffer i des Anhangs eine Angabe nicht, nicht richtig oder nicht rechtzeitig ausdruckt, den Ausdruck nicht oder nicht rechtzeitig mit der Unterschrift versieht oder eine Zeit nicht, nicht richtig oder nicht rechtzeitig einträgt.</w:t>
      </w:r>
    </w:p>
    <w:p>
      <w:r>
        <w:t xml:space="preserve">(3) Ordnungswidrig im Sinne des § 8 Absatz 1 Nummer 4 Buchstabe b des Fahrpersonalgesetzes handelt, wer als Werkstattinhaber oder Installateur gegen das Europäische Übereinkommen über die Arbeit des im internationalen Straßenverkehr beschäftigten Fahrpersonals (AETR) verstößt, indem er vorsätzlich oder fahrlässig</w:t>
      </w:r>
    </w:p>
    <w:p>
      <w:pPr>
        <w:ind w:left="420"/>
      </w:pPr>
      <w:r>
        <w:t xml:space="preserve">1. entgegen Artikel 9 Absatz 1 Satz 1 des Anhangs ein Kontrollgerät einbaut oder repariert oder</w:t>
      </w:r>
    </w:p>
    <w:p>
      <w:pPr>
        <w:ind w:left="420"/>
      </w:pPr>
      <w:r>
        <w:t xml:space="preserve">2. entgegen Artikel 12 Absatz 8 Satz 1 des Anhangs eine Aufzeichnung auf dem Schaublatt, den Speicherinhalt des Kontrollgeräts oder der Fahrerkarte oder ein ausgedrucktes Dokument verfälscht, unterdrückt oder vernichtet.</w:t>
      </w:r>
    </w:p>
    <w:p>
      <w:r>
        <w:rPr>
          <w:color w:val="555555"/>
          <w:sz w:val="17"/>
        </w:rPr>
        <w:t xml:space="preserve">Zitiervorschlag: § 22 FPersV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https://recht.nulegal.eu/gesetze/FPersV/22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