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FPersV — Verantwortlichkeiten</w:t>
      </w:r>
    </w:p>
    <w:p>
      <w:r>
        <w:rPr>
          <w:color w:val="555555"/>
          <w:sz w:val="18"/>
        </w:rPr>
        <w:t xml:space="preserve">Fahrpersonalverordnung</w:t>
      </w:r>
    </w:p>
    <w:p>
      <w:r>
        <w:rPr>
          <w:color w:val="555555"/>
          <w:sz w:val="18"/>
        </w:rPr>
        <w:t xml:space="preserve">Stand: 10.06.2019 (konsolidierte Textfassung, kein amtliches Inkrafttretensdatum)</w:t>
      </w:r>
    </w:p>
    <w:p>
      <w:r>
        <w:t xml:space="preserve">(1) Die Verkehrsunternehmen sind verpflichtet, ihren Betrieb nach Maßgabe von Artikel 10 Abs. 1 und 2 der Verordnung (EG) Nr. 561/2006 zu organisieren. Dies gilt auch für Fahrten im Hoheitsgebiet eines anderen Mitgliedstaates der Europäischen Union, eines Vertragsstaates des Abkommens über den Europäischen Wirtschaftsraum oder eines Drittstaates.</w:t>
      </w:r>
    </w:p>
    <w:p>
      <w:r>
        <w:t xml:space="preserve">(2) Neben den Verkehrsunternehmen sind auch die mit diesen in geschäftlicher Verbindung stehenden Verlader, Spediteure, Reiseveranstalter, Hauptauftragnehmer, Unterauftragnehmer und Fahrervermittlungsagenturen für die Einhaltung der Vorschriften der Verordnung (EG) Nr. 561/2006 und der vorliegenden Verordnung verantwortlich. Die an der Beförderungskette beteiligten Unternehmen haben mit dem Ziel, die Einhaltung der Vorschriften zu gewährleisten, zusammenzuarbeiten und sich abzustimmen. Der jeweilige Auftraggeber hat dafür Sorge zu tragen, dass das beauftragte Verkehrsunternehmen die Vorschriften einhält. Er hat sich vor dem Vertragsabschluss mit einem Verkehrsunternehmen und während der Vertragslaufzeit in angemessenen Zeitabständen darüber zu vergewissern und darauf hinzuwirken, dass das beauftragte Verkehrsunternehmen aufgrund seiner personellen und sachlichen Ausstattung sowie seiner betrieblichen Organisation in der Lage ist, die vorgesehenen Transportaufträge unter Einhaltung der Vorschriften durchzuführen.</w:t>
      </w:r>
    </w:p>
    <w:p>
      <w:r>
        <w:t xml:space="preserve">(3) Die Verkehrsunternehmen, Verlader, Spediteure, Reiseveranstalter, Hauptauftragnehmer, Unterauftragnehmer und Fahrervermittlungsagenturen stellen sicher, dass die vertraglich vereinbarten Beförderungszeitpläne nicht gegen die Verordnung (EG) Nr. 561/2006 verstoßen.</w:t>
      </w:r>
    </w:p>
    <w:p>
      <w:r>
        <w:rPr>
          <w:color w:val="555555"/>
          <w:sz w:val="17"/>
        </w:rPr>
        <w:t xml:space="preserve">Zitiervorschlag: § 20a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