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FPersV — Digitaler Fahrtenschreiber</w:t>
      </w:r>
    </w:p>
    <w:p>
      <w:r>
        <w:rPr>
          <w:color w:val="555555"/>
          <w:sz w:val="18"/>
        </w:rPr>
        <w:t xml:space="preserve">Fahrpersonalverordnung</w:t>
      </w:r>
    </w:p>
    <w:p>
      <w:r>
        <w:rPr>
          <w:color w:val="555555"/>
          <w:sz w:val="18"/>
        </w:rPr>
        <w:t xml:space="preserve">Stand: 10.06.2019 (konsolidierte Textfassung, kein amtliches Inkrafttretensdatum)</w:t>
      </w:r>
    </w:p>
    <w:p>
      <w:r>
        <w:t xml:space="preserve">(1) Ein Fahrer, der ein Fahrzeug lenkt, das in den Anwendungsbereich der Verordnung (EG) Nr. 561/2006 fällt, oder der Lenk- oder Ruhezeiten nach § 1 Absatz 1 und 3 einzuhalten hat und dabei einen digitalen Fahrtenschreiber betreibt, hat den Fahrtenschreiber entsprechend Artikel 27 Absatz 2, Artikel 32 Absatz 1 Satz 1 und Absatz 2 bis 4, Artikel 33 Absatz 1 Unterabsatz 3, Artikel 34 Absatz 1 bis 3 Unterabsatz 1, Absatz 4, 5 und 7, Artikel 35 Absatz 2 und Artikel 37 Absatz 2 der Verordnung (EU) Nr. 165/2014 zu bedienen und die Benutzerführung zu beachten.</w:t>
      </w:r>
    </w:p>
    <w:p>
      <w:r>
        <w:t xml:space="preserve">(2) Die in Artikel 34 Absatz 5 Buchstabe b Ziffer ii bis iv der Verordnung (EU) Nr. 165/2014 genannten Zeiträume müssen bei Übernahme des Fahrzeugs auf der Fahrerkarte unter Benutzung der im Fahrtenschreiber vorgesehenen manuellen Eingabemöglichkeiten eingetragen werden, wenn der Fahrer vor Übernahme des Fahrzeugs solche Zeiten verbracht hat.</w:t>
      </w:r>
    </w:p>
    <w:p>
      <w:r>
        <w:t xml:space="preserve">(3) Die nach Artikel 36 Absatz 2 der Verordnung (EU) Nr. 165/2014 vorgeschriebenen Ausdrucke hat der Fahrer den zuständigen Personen auf Verlangen vorzulegen. Der Unternehmer hat die Ausdrucke in chronologischer Reihenfolge und in lesbarer Form außerhalb des Fahrzeugs aufzubewahren und den zuständigen Personen auf Verlangen vorzulegen.</w:t>
      </w:r>
    </w:p>
    <w:p>
      <w:r>
        <w:t xml:space="preserve">(4) Bei Einsatz von Mietfahrzeugen, deren Verwendung in den Anwendungsbereich der Verordnung (EG) Nr. 561/2006 oder dieser Verordnung fällt, hat der Unternehmer, der das Fahrzeug anmietet, zu Beginn und am Ende des Mietzeitraums durch Verwendung der Unternehmenskarte sicherzustellen, dass die Daten aus dem Massenspeicher des Fahrtenschreibers über die mit den Fahrzeugen durchgeführten Fahrten übertragen und bei ihm gespeichert werden. Ist dies in begründeten Ausnahmefällen oder bei einer Mietdauer von nicht mehr als 24 Stunden nicht möglich, ist zu Beginn und am Ende des Mietzeitraums ein Ausdruck wie bei Beschädigung oder Fehlfunktion der Fahrerkarte zu fertigen. Der Fahrer hat den Ausdruck unverzüglich nach Erhalt an den Unternehmer weiterzuleiten, der ihn ein Jahr aufzubewahren hat. Nach Ablauf der Aufbewahrungsfrist sind die Ausdrucke bis zum 31. März des folgenden Kalenderjahres zu vernichten, soweit sie nicht zur Erfüllung der Aufbewahrungspflichten nach § 16 Abs. 2 und § 21a Abs. 7 des Arbeitszeitgesetzes, § 147 Abs. 1 Nr. 5 in Verbindung mit Abs. 3 der Abgabenordnung, § 28f Abs. 1 Satz 1 des Vierten Buches Sozialgesetzbuch, § 17 Absatz 2 des Mindestlohngesetzes, § 19 Absatz 2 des Arbeitnehmer-Entsendegesetzes oder § 17c Absatz 2 des Arbeitnehmerüberlassungsgesetzes benötigt werden.</w:t>
      </w:r>
    </w:p>
    <w:p>
      <w:r>
        <w:t xml:space="preserve">(5) Der Unternehmer hat sicherzustellen, dass alle Daten aus dem Massenspeicher des Fahrtenschreibers spätestens 90 Tage nach Aufzeichnung eines Ereignisses zur Speicherung im Betrieb kopiert werden. Der Unternehmer hat sicherzustellen, dass die Daten der Fahrerkarten spätestens 28 Kalendertage nach Aufzeichnung eines Ereignisses zur Speicherung im Betrieb kopiert werden. Der Fahrer hat hierzu dem Unternehmen die Fahrerkarte und die Ausdrucke nach Absatz 3 zur Verfügung zu stellen. Der Unternehmer hat alle sowohl von den Fahrtenschreibern als auch von den Fahrerkarten kopierten Daten der zuständigen Behörde oder Stelle auf Verlangen entweder unmittelbar oder durch Datenfernübertragung oder auf einem durch die Behörde oder Stelle zu bestimmenden Datenträger zur Verfügung zu stellen. Der Unternehmer hat von allen kopierten Daten unverzüglich Sicherheitskopien zu erstellen, die auf einem gesonderten Datenträger zu speichern sind.</w:t>
      </w:r>
    </w:p>
    <w:p>
      <w:r>
        <w:t xml:space="preserve">(6) Unternehmen, die Fahrzeuge vermieten, haben dem Mieter des Fahrzeugs diejenigen Daten aus dem Massenspeicher des Fahrtenschreibers, die sich auf die vom Mieter durchgeführten Beförderungen beziehen und auf die dieser nicht unmittelbar zugreifen kann,</w:t>
      </w:r>
    </w:p>
    <w:p>
      <w:pPr>
        <w:ind w:left="420"/>
      </w:pPr>
      <w:r>
        <w:t xml:space="preserve">1. auf dessen Verlangen,</w:t>
      </w:r>
    </w:p>
    <w:p>
      <w:pPr>
        <w:ind w:left="420"/>
      </w:pPr>
      <w:r>
        <w:t xml:space="preserve">2. spätestens 90 Tage nach Beginn des Mietverhältnisses oder der letzten Datenübermittlung und</w:t>
      </w:r>
    </w:p>
    <w:p>
      <w:pPr>
        <w:ind w:left="420"/>
      </w:pPr>
      <w:r>
        <w:t xml:space="preserve">3. nach Beendigung des Mietverhältnisses</w:t>
      </w:r>
    </w:p>
    <w:p>
      <w:r>
        <w:t xml:space="preserve">zur Verfügung zu stellen. Dabei sind dem jeweiligen Stand der Technik entsprechende Maßnahmen zur Sicherstellung von Datenschutz und Datensicherheit zu treffen, die insbesondere die Vertraulichkeit, Unversehrtheit und Zurechenbarkeit der Daten gewährleisten; im Falle der Nutzung allgemein zugänglicher Netze sind dem jeweiligen Stand der Technik entsprechende Verschlüsselungsverfahren anzuwenden.</w:t>
      </w:r>
    </w:p>
    <w:p>
      <w:r>
        <w:rPr>
          <w:color w:val="555555"/>
          <w:sz w:val="17"/>
        </w:rPr>
        <w:t xml:space="preserve">Zitiervorschlag: § 2 FPersV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https://recht.nulegal.eu/gesetze/FPersV/2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