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FPersV — Ausnahmen nach den Verordnungen (EG) Nr. 561/2006 und (EU) Nr. 165/2014</w:t>
      </w:r>
    </w:p>
    <w:p>
      <w:r>
        <w:rPr>
          <w:color w:val="555555"/>
          <w:sz w:val="18"/>
        </w:rPr>
        <w:t xml:space="preserve">Fahrpersonalverordnung</w:t>
      </w:r>
    </w:p>
    <w:p>
      <w:r>
        <w:rPr>
          <w:color w:val="555555"/>
          <w:sz w:val="18"/>
        </w:rPr>
        <w:t xml:space="preserve">Stand: 19.07.2024 (konsolidierte Textfassung, kein amtliches Inkrafttretensdatum)</w:t>
      </w:r>
    </w:p>
    <w:p>
      <w:r>
        <w:t xml:space="preserve">(1) Nach Artikel 13 Absatz 1 der Verordnung (EG) Nr. 561/2006 und nach Artikel 3 Absatz 2 der Verordnung (EU) Nr. 165/2014 werden im Geltungsbereich des Fahrpersonalgesetzes folgende Fahrzeugkategorien von der Anwendung der Artikel 5 bis 9 der Verordnung (EG) Nr. 561/2006 und der Anwendung der Verordnung (EU) Nr. 165/2014 ausgenommen:</w:t>
      </w:r>
    </w:p>
    <w:p>
      <w:pPr>
        <w:ind w:left="420"/>
      </w:pPr>
      <w:r>
        <w:t xml:space="preserve">1. Fahrzeuge, die im Eigentum von Behörden stehen oder von diesen ohne Fahrer angemietet oder geleast sind, um Beförderungen im Straßenverkehr durchzuführen, die nicht im Wettbewerb mit privatwirtschaftlichen Verkehrsunternehmen stehen,</w:t>
      </w:r>
    </w:p>
    <w:p>
      <w:pPr>
        <w:ind w:left="420"/>
      </w:pPr>
      <w:r>
        <w:t xml:space="preserve">2. Fahrzeuge, die von Landwirtschafts-, Gartenbau-, Forstwirtschaft- oder Fischereiunternehmen zur Güterbeförderung, insbesondere auch zur Beförderung lebender Tiere, im Rahmen der eigenen unternehmerischen Tätigkeit in einem Umkreis von bis zu 100 Kilometern vom Standort des Unternehmens verwendet oder von diesen ohne Fahrer angemietet werden,</w:t>
      </w:r>
    </w:p>
    <w:p>
      <w:pPr>
        <w:ind w:left="420"/>
      </w:pPr>
      <w:r>
        <w:t xml:space="preserve">3. Land- und forstwirtschaftliche Zugmaschinen, die für land- oder forstwirtschaftliche Tätigkeiten in einem Umkreis von bis zu 100 Kilometern vom Standort des Unternehmens verwendet werden, das das Fahrzeug besitzt, anmietet oder least,</w:t>
      </w:r>
    </w:p>
    <w:p>
      <w:pPr>
        <w:ind w:left="420"/>
      </w:pPr>
      <w:r>
        <w:t xml:space="preserve">4. Fahrzeuge oder Fahrzeugkombinationen mit einer zulässigen Höchstmasse von nicht mehr als 7,5 Tonnen, die von Postdienstleistern, die Universaldienstleistungen im Sinne des § 16 Absatz 1 des Postgesetzes in der jeweils geltenden Fassung erbringen, in einem Umkreis von 100 Kilometern vom Standort des Unternehmens zum Zwecke der Zustellung von Sendungen im Rahmen des Universaldienstes verwendet werden, soweit das Lenken des Fahrzeugs nicht die Haupttätigkeit des Fahrers darstellt,</w:t>
      </w:r>
    </w:p>
    <w:p>
      <w:pPr>
        <w:ind w:left="420"/>
      </w:pPr>
      <w:r>
        <w:t xml:space="preserve">5. Fahrzeuge, die ausschließlich auf Inseln mit einer Fläche von nicht mehr als 2 300 Quadratkilometern verkehren, die mit den übrigen Teilen des Hoheitsgebiets weder durch eine befahrbare Brücke, Furt oder einen befahrbaren Tunnel verbunden sind,</w:t>
      </w:r>
    </w:p>
    <w:p>
      <w:pPr>
        <w:ind w:left="420"/>
      </w:pPr>
      <w:r>
        <w:t xml:space="preserve">6. Fahrzeuge, die im Umkreis von 100 Kilometern vom Standort des Unternehmens zur Güterbeförderung mit Druckerdgas-, Flüssiggas- oder Elektroantrieb verwendet werden und deren zulässige Höchstmasse einschließlich Anhänger oder Sattelanhänger 7,5 Tonnen nicht übersteigt,</w:t>
      </w:r>
    </w:p>
    <w:p>
      <w:pPr>
        <w:ind w:left="420"/>
      </w:pPr>
      <w:r>
        <w:t xml:space="preserve">7. Fahrzeuge, die zum Fahrschulunterricht und zur Fahrprüfung zwecks Erlangung der Fahrerlaubnis oder eines beruflichen Befähigungsnachweises dienen, sofern diese Fahrzeuge nicht für die gewerbliche Personen- oder Güterbeförderung verwendet werden,</w:t>
      </w:r>
    </w:p>
    <w:p>
      <w:pPr>
        <w:ind w:left="420"/>
      </w:pPr>
      <w:r>
        <w:t xml:space="preserve">8. Fahrzeuge, die in Verbindung mit der Instandhaltung von Kanalisation, Hochwasserschutz, Wasser-, Gas- und Elektrizitätsversorgung, Straßenunterhaltung und -kontrolle, Hausmüllabfuhr, Telegramm- und Telefondienstleistungen, Rundfunk und Fernsehen sowie zur Erfassung von Radio- beziehungsweise Fernsehsendern oder -geräten eingesetzt werden,</w:t>
      </w:r>
    </w:p>
    <w:p>
      <w:pPr>
        <w:ind w:left="420"/>
      </w:pPr>
      <w:r>
        <w:t xml:space="preserve">9. Fahrzeuge mit zehn bis 17 Sitzen, die ausschließlich zur nicht gewerblichen Personenbeförderung verwendet werden,</w:t>
      </w:r>
    </w:p>
    <w:p>
      <w:pPr>
        <w:ind w:left="420"/>
      </w:pPr>
      <w:r>
        <w:t xml:space="preserve">10. Spezialfahrzeuge, die zum Transport von Ausrüstungen des Zirkus- oder Schaustellergewerbes verwendet werden,</w:t>
      </w:r>
    </w:p>
    <w:p>
      <w:pPr>
        <w:ind w:left="420"/>
      </w:pPr>
      <w:r>
        <w:t xml:space="preserve">11. speziell für mobile Projekte ausgerüstete Fahrzeuge, die hauptsächlich im Stand zu Lehrzwecken verwendet werden,</w:t>
      </w:r>
    </w:p>
    <w:p>
      <w:pPr>
        <w:ind w:left="420"/>
      </w:pPr>
      <w:r>
        <w:t xml:space="preserve">12. Fahrzeuge, die innerhalb eines Umkreises von bis zu 100 Kilometern vom Standort des Unternehmens zum Abholen von Milch bei landwirtschaftlichen Betrieben, zur Rückgabe von Milchbehältern oder zur Lieferung von Milcherzeugnissen für Futterzwecke an diese Betriebe verwendet werden,</w:t>
      </w:r>
    </w:p>
    <w:p>
      <w:pPr>
        <w:ind w:left="420"/>
      </w:pPr>
      <w:r>
        <w:t xml:space="preserve">13. Spezialfahrzeuge für Geld- und/oder Werttransporte,</w:t>
      </w:r>
    </w:p>
    <w:p>
      <w:pPr>
        <w:ind w:left="420"/>
      </w:pPr>
      <w:r>
        <w:t xml:space="preserve">14. Fahrzeuge, die in einem Umkreis von 250 Kilometern vom Standort des Unternehmens zum Transport tierischer Nebenprodukte im Sinne des Artikels 3 Nummer 1 der Verordnung (EG) Nr. 1069/2009 des Europäischen Parlaments und des Rates vom 21. Oktober 2009 mit Hygienevorschriften für nicht für den menschlichen Verzehr bestimmte tierische Nebenprodukte und zur Aufhebung der Verordnung (EG) Nr. 1774/2002 (Verordnung über tierische Nebenprodukte) (ABl. L 300 vom 14.11.2009, S. 1) in der jeweils geltenden Fassung verwendet werden,</w:t>
      </w:r>
    </w:p>
    <w:p>
      <w:pPr>
        <w:ind w:left="420"/>
      </w:pPr>
      <w:r>
        <w:t xml:space="preserve">15. Fahrzeuge, die ausschließlich auf Straßen in Güterverteilzentren wie Häfen, Umschlaganlagen des Kombinierten Verkehrs und Eisenbahnterminals verwendet werden, und</w:t>
      </w:r>
    </w:p>
    <w:p>
      <w:pPr>
        <w:ind w:left="420"/>
      </w:pPr>
      <w:r>
        <w:t xml:space="preserve">16. Fahrzeuge, die innerhalb eines Umkreises von bis zu 100 Kilometern vom Standort des Unternehmens für die Beförderung lebender Tiere von den landwirtschaftlichen Betrieben zu den lokalen Märkten und umgekehrt oder von den Märkten zu den lokalen Schlachthäusern verwendet werden.</w:t>
      </w:r>
    </w:p>
    <w:p>
      <w:r>
        <w:t xml:space="preserve">(2) Abweichend von Artikel 5 Abs. 2 Satz 1 der Verordnung (EG) Nr. 561/2006 beträgt bei Beförderungen in einem Umkreis von 50 Kilometern vom Standort des Fahrzeugs das Mindestalter der Beifahrer zum Zwecke der Berufsausbildung 16 Jahre.</w:t>
      </w:r>
    </w:p>
    <w:p>
      <w:r>
        <w:rPr>
          <w:color w:val="555555"/>
          <w:sz w:val="17"/>
        </w:rPr>
        <w:t xml:space="preserve">Zitiervorschlag: § 18 FPersV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https://recht.nulegal.eu/gesetze/FPersV/18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