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FPersV — Übermittlung von Daten an inländische Behörden und Stellen durch Abruf im automatisierten Verfahren</w:t>
      </w:r>
    </w:p>
    <w:p>
      <w:r>
        <w:rPr>
          <w:color w:val="555555"/>
          <w:sz w:val="18"/>
        </w:rPr>
        <w:t xml:space="preserve">Fahrpersonalverordnung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im Zentralen Fahrtenschreiberkartenregister gespeicherten Daten dürfen an die hierfür zuständigen Behörden und Stellen durch Abruf im automatisierten Verfahren übermittelt werden, soweit dies erforderlich ist</w:t>
      </w:r>
    </w:p>
    <w:p>
      <w:pPr>
        <w:ind w:left="420"/>
      </w:pPr>
      <w:r>
        <w:t xml:space="preserve">1. für Verwaltungsmaßnahmen auf Grund der Verordnung (EU) Nr. 165/2014 oder darauf beruhender Rechtsvorschriften,</w:t>
      </w:r>
    </w:p>
    <w:p>
      <w:pPr>
        <w:ind w:left="420"/>
      </w:pPr>
      <w:r>
        <w:t xml:space="preserve">2. für Verkehrs- oder Grenzkontrollen,</w:t>
      </w:r>
    </w:p>
    <w:p>
      <w:pPr>
        <w:ind w:left="420"/>
      </w:pPr>
      <w:r>
        <w:t xml:space="preserve">3. für die Verfolgung von Ordnungswidrigkeiten,</w:t>
      </w:r>
    </w:p>
    <w:p>
      <w:pPr>
        <w:ind w:left="420"/>
      </w:pPr>
      <w:r>
        <w:t xml:space="preserve">4. für die Verfolgung von Straftaten.</w:t>
      </w:r>
    </w:p>
    <w:p>
      <w:r>
        <w:rPr>
          <w:color w:val="555555"/>
          <w:sz w:val="17"/>
        </w:rPr>
        <w:t xml:space="preserve">Zitiervorschlag: § 15 FPersV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https://recht.nulegal.eu/gesetze/FPersV/15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