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FPersV — Mitteilung an das Zentrale Fahrtenschreiberkartenregister im automatisierten Dialogverfahren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Antragsbearbeitung zuständige Behörde oder Stelle teilt dem Zentralen Fahrtenschreiberkartenregister unverzüglich die zu speichernden oder zu einer Änderung einer Eintragung führenden Daten im automatisierten Dialogverfahren mit; sie teilt dem Personalisierer die zur Personalisierung notwendigen Daten mit.</w:t>
      </w:r>
    </w:p>
    <w:p>
      <w:r>
        <w:t xml:space="preserve">(2) Zuständige ausländische Stellen sind berechtigt, Statusänderungen zu Fahrtenschreiberkarten im automatisierten Dialogverfahren an das Zentrale Fahrtenschreiberkartenregister zu übermitteln.</w:t>
      </w:r>
    </w:p>
    <w:p>
      <w:r>
        <w:t xml:space="preserve">(3) Der Personalisierer teilt dem Zentralen Fahrtenschreiberkartenregister unverzüglich jeweils nach Produktion und Versand einer Fahrtenschreiberkarte eine entsprechende Information hierüber mit.</w:t>
      </w:r>
    </w:p>
    <w:p>
      <w:r>
        <w:rPr>
          <w:color w:val="555555"/>
          <w:sz w:val="17"/>
        </w:rPr>
        <w:t xml:space="preserve">Zitiervorschlag: § 14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