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FPackV — (zu § 34 Absatz 5 Satz 1, § 41 Absatz 3 Satz 2, § 44 Absatz 2) Anforderungen an Messgeräte</w:t>
      </w:r>
    </w:p>
    <w:p>
      <w:r>
        <w:rPr>
          <w:color w:val="555555"/>
          <w:sz w:val="18"/>
        </w:rPr>
        <w:t xml:space="preserve">Fertigpackungsverordnung</w:t>
      </w:r>
    </w:p>
    <w:p>
      <w:r>
        <w:rPr>
          <w:color w:val="555555"/>
          <w:sz w:val="18"/>
        </w:rPr>
        <w:t xml:space="preserve">Stand: 01.12.2020 (konsolidierte Textfassung, kein amtliches Inkrafttretensdatum)</w:t>
      </w:r>
    </w:p>
    <w:p>
      <w:r>
        <w:t xml:space="preserve">(Fundstelle: BGBl. I 2020, 2528)</w:t>
      </w:r>
    </w:p>
    <w:p>
      <w:pPr>
        <w:ind w:left="420"/>
      </w:pPr>
      <w:r>
        <w:t xml:space="preserve">1. Allgemein</w:t>
      </w:r>
    </w:p>
    <w:p>
      <w:pPr>
        <w:ind w:left="780"/>
      </w:pPr>
      <w:r>
        <w:t xml:space="preserve">a) Soweit nachstehend nichts anderes festgelegt ist, sind Messgeräte im Sinne des § 41 Absatz 3 Satz 2 geeignet, wenn sie konformitätsbewertet oder geeicht sind.</w:t>
      </w:r>
    </w:p>
    <w:p>
      <w:pPr>
        <w:ind w:left="780"/>
      </w:pPr>
      <w:r>
        <w:t xml:space="preserve">b) Sofern Messgeräte zur Bestimmung der Masse oder des Volumens verwendet werden, darf die Verkehrsfehlergrenze der verwendeten Messgeräte bei der Messung oder der Kontrolle der Füllmenge einer Fertigpackung, der Füllmenge einer Verkaufseinheit ohne Umhüllung oder des Gewichts einer Backware ohne Vorverpackung höchstens ein Fünftel der Werte in der Tabelle in § 9 Absatz 3, sowie der Werte in § 30 Absatz 4 oder § 34 Absatz 3 betragen.</w:t>
      </w:r>
    </w:p>
    <w:p>
      <w:pPr>
        <w:ind w:left="1140"/>
      </w:pPr>
      <w:r>
        <w:t xml:space="preserve">aa) Werden nichtselbsttätige Waagen verwendet, so müssen diese der Genauigkeitsklasse III oder besser entsprechen. Der Eichwert darf nicht größer sein als:</w:t>
      </w:r>
    </w:p>
    <w:p>
      <w:r>
        <w:rPr>
          <w:rFonts w:ascii="Courier New" w:hAnsi="Courier New"/>
          <w:sz w:val="17"/>
        </w:rPr>
        <w:t xml:space="preserve">Nennfüllmenge QN der Fertigpackung in [g] oder [ml]        größter zulässiger Eichwert in [g]</w:t>
      </w:r>
    </w:p>
    <w:p>
      <w:r>
        <w:rPr>
          <w:rFonts w:ascii="Courier New" w:hAnsi="Courier New"/>
          <w:sz w:val="17"/>
        </w:rPr>
        <w:t xml:space="preserve">von        5        bis weniger als        10        0,1</w:t>
      </w:r>
    </w:p>
    <w:p>
      <w:r>
        <w:rPr>
          <w:rFonts w:ascii="Courier New" w:hAnsi="Courier New"/>
          <w:sz w:val="17"/>
        </w:rPr>
        <w:t xml:space="preserve">von        10        bis weniger als        25        0,2</w:t>
      </w:r>
    </w:p>
    <w:p>
      <w:r>
        <w:rPr>
          <w:rFonts w:ascii="Courier New" w:hAnsi="Courier New"/>
          <w:sz w:val="17"/>
        </w:rPr>
        <w:t xml:space="preserve">von        25        bis weniger als        150        0,5</w:t>
      </w:r>
    </w:p>
    <w:p>
      <w:r>
        <w:rPr>
          <w:rFonts w:ascii="Courier New" w:hAnsi="Courier New"/>
          <w:sz w:val="17"/>
        </w:rPr>
        <w:t xml:space="preserve">von        150        bis weniger als        350        1,0</w:t>
      </w:r>
    </w:p>
    <w:p>
      <w:r>
        <w:rPr>
          <w:rFonts w:ascii="Courier New" w:hAnsi="Courier New"/>
          <w:sz w:val="17"/>
        </w:rPr>
        <w:t xml:space="preserve">von        350        bis weniger als        1 750        2,0</w:t>
      </w:r>
    </w:p>
    <w:p>
      <w:r>
        <w:rPr>
          <w:rFonts w:ascii="Courier New" w:hAnsi="Courier New"/>
          <w:sz w:val="17"/>
        </w:rPr>
        <w:t xml:space="preserve">von        1 750        bis weniger als        3 500        5,0</w:t>
      </w:r>
    </w:p>
    <w:p>
      <w:r>
        <w:rPr>
          <w:rFonts w:ascii="Courier New" w:hAnsi="Courier New"/>
          <w:sz w:val="17"/>
        </w:rPr>
        <w:t xml:space="preserve">von        3 500        bis weniger als        7 000        10,0</w:t>
      </w:r>
    </w:p>
    <w:p>
      <w:r>
        <w:rPr>
          <w:rFonts w:ascii="Courier New" w:hAnsi="Courier New"/>
          <w:sz w:val="17"/>
        </w:rPr>
        <w:t xml:space="preserve">von        7 000        bis weniger als        25 000        20,0</w:t>
      </w:r>
    </w:p>
    <w:p>
      <w:r>
        <w:rPr>
          <w:rFonts w:ascii="Courier New" w:hAnsi="Courier New"/>
          <w:sz w:val="17"/>
        </w:rPr>
        <w:t xml:space="preserve">von        25 000        bis weniger als        50 000        50,0</w:t>
      </w:r>
    </w:p>
    <w:p>
      <w:r>
        <w:rPr>
          <w:rFonts w:ascii="Courier New" w:hAnsi="Courier New"/>
          <w:sz w:val="17"/>
        </w:rPr>
        <w:t xml:space="preserve">von        50 000        bis weniger als        100 000        100,0</w:t>
      </w:r>
    </w:p>
    <w:p>
      <w:r>
        <w:rPr>
          <w:rFonts w:ascii="Courier New" w:hAnsi="Courier New"/>
          <w:sz w:val="17"/>
        </w:rPr>
        <w:t xml:space="preserve">von        100 000        bis weniger als        600 000        200,0</w:t>
      </w:r>
    </w:p>
    <w:p>
      <w:r>
        <w:rPr>
          <w:rFonts w:ascii="Courier New" w:hAnsi="Courier New"/>
          <w:sz w:val="17"/>
        </w:rPr>
        <w:t xml:space="preserve">von        600 000        bis        1 500 000        500,0</w:t>
      </w:r>
    </w:p>
    <w:p>
      <w:pPr>
        <w:ind w:left="1140"/>
      </w:pPr>
      <w:r>
        <w:t xml:space="preserve">bb) Werden selbsttätige Kontrollwaagen verwendet, so müssen diese der Genauigkeitsklasse XIII (1) oder besser entsprechen. Der Eichwert darf nicht größer sein als:</w:t>
      </w:r>
    </w:p>
    <w:p>
      <w:r>
        <w:rPr>
          <w:rFonts w:ascii="Courier New" w:hAnsi="Courier New"/>
          <w:sz w:val="17"/>
        </w:rPr>
        <w:t xml:space="preserve">Nennfüllmenge QN der Fertigpackung in [g] oder [ml]        größter zulässiger Eichwert in [g]</w:t>
      </w:r>
    </w:p>
    <w:p>
      <w:r>
        <w:rPr>
          <w:rFonts w:ascii="Courier New" w:hAnsi="Courier New"/>
          <w:sz w:val="17"/>
        </w:rPr>
        <w:t xml:space="preserve">von        5        bis weniger als        20        0,1</w:t>
      </w:r>
    </w:p>
    <w:p>
      <w:r>
        <w:rPr>
          <w:rFonts w:ascii="Courier New" w:hAnsi="Courier New"/>
          <w:sz w:val="17"/>
        </w:rPr>
        <w:t xml:space="preserve">von        20        bis weniger als        50        0,2</w:t>
      </w:r>
    </w:p>
    <w:p>
      <w:r>
        <w:rPr>
          <w:rFonts w:ascii="Courier New" w:hAnsi="Courier New"/>
          <w:sz w:val="17"/>
        </w:rPr>
        <w:t xml:space="preserve">von        50        bis weniger als        175        0,5</w:t>
      </w:r>
    </w:p>
    <w:p>
      <w:r>
        <w:rPr>
          <w:rFonts w:ascii="Courier New" w:hAnsi="Courier New"/>
          <w:sz w:val="17"/>
        </w:rPr>
        <w:t xml:space="preserve">von        175        bis weniger als        500        1,0</w:t>
      </w:r>
    </w:p>
    <w:p>
      <w:r>
        <w:rPr>
          <w:rFonts w:ascii="Courier New" w:hAnsi="Courier New"/>
          <w:sz w:val="17"/>
        </w:rPr>
        <w:t xml:space="preserve">von        500        bis weniger als        5 000        2,0</w:t>
      </w:r>
    </w:p>
    <w:p>
      <w:r>
        <w:rPr>
          <w:rFonts w:ascii="Courier New" w:hAnsi="Courier New"/>
          <w:sz w:val="17"/>
        </w:rPr>
        <w:t xml:space="preserve">von        5 000        bis weniger als        10 000        5,0</w:t>
      </w:r>
    </w:p>
    <w:p>
      <w:r>
        <w:rPr>
          <w:rFonts w:ascii="Courier New" w:hAnsi="Courier New"/>
          <w:sz w:val="17"/>
        </w:rPr>
        <w:t xml:space="preserve">von        10 000        bis weniger als        15 000        10,0</w:t>
      </w:r>
    </w:p>
    <w:p>
      <w:r>
        <w:rPr>
          <w:rFonts w:ascii="Courier New" w:hAnsi="Courier New"/>
          <w:sz w:val="17"/>
        </w:rPr>
        <w:t xml:space="preserve">von        15 000        bis weniger als        50 000        20,0</w:t>
      </w:r>
    </w:p>
    <w:p>
      <w:r>
        <w:rPr>
          <w:rFonts w:ascii="Courier New" w:hAnsi="Courier New"/>
          <w:sz w:val="17"/>
        </w:rPr>
        <w:t xml:space="preserve">von        50 000        bis        100 000        50,0</w:t>
      </w:r>
    </w:p>
    <w:p>
      <w:pPr>
        <w:ind w:left="420"/>
      </w:pPr>
      <w:r>
        <w:t xml:space="preserve">2. AusnahmenWerden Backwaren ohne Vorverpackung oder für den unmittelbaren Verkauf vorverpackte Lebensmittel überwiegend von Hand hergestellt, sind geeichte Handelswaagen zum Messen oder Kontrollieren geeignet.</w:t>
      </w:r>
    </w:p>
    <w:p>
      <w:pPr>
        <w:ind w:left="420"/>
      </w:pPr>
      <w:r>
        <w:t xml:space="preserve">3. Zusatzeinrichtungen an Messgeräten nach Nummer 1 Buchstabe a und b, welche bei der Herstellung von Fertigpackungen zur Messung und Kontrolle verwendet werden und zur Registrierung und Auswertung von Messwerten dienen, sind von der Anwendung des Mess- und Eichgesetzes ausgenommen.</w:t>
      </w:r>
    </w:p>
    <w:p>
      <w:r>
        <w:rPr>
          <w:color w:val="555555"/>
          <w:sz w:val="17"/>
        </w:rPr>
        <w:t xml:space="preserve">Zitiervorschlag: Anlage 7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