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FPackV — (zu § 40 Absatz 2) Abweichende Prüfzeiträume für Fertigpackungen und andere Verkaufseinheiten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(Fundstelle: BGBl. I 2020, 2526)</w:t>
      </w:r>
    </w:p>
    <w:p>
      <w:pPr>
        <w:ind w:left="420"/>
      </w:pPr>
      <w:r>
        <w:t xml:space="preserve">1. Fertigpackungen und andere Verkaufseinheiten mit Gewichtskennzeichnung</w:t>
      </w:r>
    </w:p>
    <w:p>
      <w:r>
        <w:rPr>
          <w:rFonts w:ascii="Courier New" w:hAnsi="Courier New"/>
          <w:sz w:val="17"/>
        </w:rPr>
        <w:t xml:space="preserve">    Erzeugnis    Prüfzeitraum</w:t>
      </w:r>
    </w:p>
    <w:p>
      <w:r>
        <w:rPr>
          <w:rFonts w:ascii="Courier New" w:hAnsi="Courier New"/>
          <w:sz w:val="17"/>
        </w:rPr>
        <w:t xml:space="preserve">a)    Backwaren ohne Vorverpackung    Bis 11 Stunden nach dem Zeitpunkt der Backofenentnahme</w:t>
      </w:r>
    </w:p>
    <w:p>
      <w:r>
        <w:rPr>
          <w:rFonts w:ascii="Courier New" w:hAnsi="Courier New"/>
          <w:sz w:val="17"/>
        </w:rPr>
        <w:t xml:space="preserve">b)    Frisches Obst oder Gemüse, Kartoffeln    Bis zu 1 Monat nach dem Zeitpunkt der Herstellung</w:t>
      </w:r>
    </w:p>
    <w:p>
      <w:r>
        <w:rPr>
          <w:rFonts w:ascii="Courier New" w:hAnsi="Courier New"/>
          <w:sz w:val="17"/>
        </w:rPr>
        <w:t xml:space="preserve">c)    Lösungsmittelhaltige Klebstoffe    Bis zu 1 Woche nach dem Zeitpunkt der Herstellung</w:t>
      </w:r>
    </w:p>
    <w:p>
      <w:pPr>
        <w:ind w:left="420"/>
      </w:pPr>
      <w:r>
        <w:t xml:space="preserve">2. Fertigpackungen mit Abtropfgewichtskennzeichnung</w:t>
      </w:r>
    </w:p>
    <w:p>
      <w:r>
        <w:rPr>
          <w:rFonts w:ascii="Courier New" w:hAnsi="Courier New"/>
          <w:sz w:val="17"/>
        </w:rPr>
        <w:t xml:space="preserve">    Erzeugnis    Prüfzeitraum</w:t>
      </w:r>
    </w:p>
    <w:p>
      <w:r>
        <w:rPr>
          <w:rFonts w:ascii="Courier New" w:hAnsi="Courier New"/>
          <w:sz w:val="17"/>
        </w:rPr>
        <w:t xml:space="preserve">a)    Obst, Gemüse und sonstige pflanzliche Lebensmittel als Konserve    Bis 2 Jahre nach dem Zeitpunkt der Herstellung</w:t>
      </w:r>
    </w:p>
    <w:p>
      <w:r>
        <w:rPr>
          <w:rFonts w:ascii="Courier New" w:hAnsi="Courier New"/>
          <w:sz w:val="17"/>
        </w:rPr>
        <w:t xml:space="preserve">b)    Fische, Erzeugnisse aus gesalzenen Fischen, Anchosen, Marinaden, Kochfischwaren, Fischdauerkonserven, Muscheln, Krabben, wechselwarme Tiere, Krusten- und Schalentiere, Weichtiere oder Erzeugnisse aus diesen Tieren, außer glasierte Erzeugnisse    Bis 14 Tage nach dem Zeitpunkt der Herstellung</w:t>
      </w:r>
    </w:p>
    <w:p>
      <w:r>
        <w:rPr>
          <w:rFonts w:ascii="Courier New" w:hAnsi="Courier New"/>
          <w:sz w:val="17"/>
        </w:rPr>
        <w:t xml:space="preserve">c)    Bratfischmarinaden    Bis 14 Tage nach dem Zeitpunkt der Herstellung</w:t>
      </w:r>
    </w:p>
    <w:p>
      <w:r>
        <w:rPr>
          <w:rFonts w:ascii="Courier New" w:hAnsi="Courier New"/>
          <w:sz w:val="17"/>
        </w:rPr>
        <w:t xml:space="preserve">d)    Mozzarella und Käse, der in einer oder aus einer Flüssigkeit in Verkehr gebracht wird    Bis 14 Tage nach dem Zeitpunkt der Herstellung</w:t>
      </w:r>
    </w:p>
    <w:p>
      <w:r>
        <w:rPr>
          <w:color w:val="555555"/>
          <w:sz w:val="17"/>
        </w:rPr>
        <w:t xml:space="preserve">Zitiervorschlag: Anlage 5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