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FPackV — (zu § 2 Satz 1 Nummer 10) Festlegung abweichender Herstellungszeitpunkte für Fertigpackungen und andere Verkaufseinheiten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(Fundstelle: BGBl. I 2020, 2520)</w:t>
      </w:r>
    </w:p>
    <w:p>
      <w:pPr>
        <w:ind w:left="420"/>
      </w:pPr>
      <w:r>
        <w:t xml:space="preserve">1. Fertigpackungen und andere Verkaufseinheiten mit Kennzeichnung nach Gewicht oder Volumen</w:t>
      </w:r>
    </w:p>
    <w:p>
      <w:r>
        <w:rPr>
          <w:rFonts w:ascii="Courier New" w:hAnsi="Courier New"/>
          <w:sz w:val="17"/>
        </w:rPr>
        <w:t xml:space="preserve">    Erzeugnis    Zeitpunkt der Herstellung</w:t>
      </w:r>
    </w:p>
    <w:p>
      <w:r>
        <w:rPr>
          <w:rFonts w:ascii="Courier New" w:hAnsi="Courier New"/>
          <w:sz w:val="17"/>
        </w:rPr>
        <w:t xml:space="preserve">a)    Räucherwaren, Würste, die nach dem Einfüllen des Brätes in die Wursthülle noch nachbehandelt werden (räuchern, lufttrocknen, kochen, braten)    Nach Abschluss der Zweitverpackung durch verkaufsfertige Herrichtung wie Folienverpackung, Etikettierung, Anbringen von Plomben usw.</w:t>
      </w:r>
    </w:p>
    <w:p>
      <w:r>
        <w:rPr>
          <w:rFonts w:ascii="Courier New" w:hAnsi="Courier New"/>
          <w:sz w:val="17"/>
        </w:rPr>
        <w:t xml:space="preserve">b)    schnittfeste Rohwürste    Sobald das Verhältnis von fleischeigenem Wasser zu Fleischeiweiß (Federzahl) 2,5 und bei einem Kaliberdurchmesser über 70 Millimeter 2,8 beträgt</w:t>
      </w:r>
    </w:p>
    <w:p>
      <w:r>
        <w:rPr>
          <w:rFonts w:ascii="Courier New" w:hAnsi="Courier New"/>
          <w:sz w:val="17"/>
        </w:rPr>
        <w:t xml:space="preserve">c)    tiefgefrorene Erzeugnisse, tiefgefrorenes Schlachtgeflügel    Nach dem Schockgefrieren</w:t>
      </w:r>
    </w:p>
    <w:p>
      <w:r>
        <w:rPr>
          <w:rFonts w:ascii="Courier New" w:hAnsi="Courier New"/>
          <w:sz w:val="17"/>
        </w:rPr>
        <w:t xml:space="preserve">d)    Speiseeis    Nach dem Aushärten nach mindestens 2-wöchiger Gefrierhauslagerung</w:t>
      </w:r>
    </w:p>
    <w:p>
      <w:r>
        <w:rPr>
          <w:rFonts w:ascii="Courier New" w:hAnsi="Courier New"/>
          <w:sz w:val="17"/>
        </w:rPr>
        <w:t xml:space="preserve">e)    stückige Seife    1 Stunde nach der Ausformung</w:t>
      </w:r>
    </w:p>
    <w:p>
      <w:pPr>
        <w:ind w:left="420"/>
      </w:pPr>
      <w:r>
        <w:t xml:space="preserve">2. Fertigpackungen mit Abtropfgewichtskennzeichnung</w:t>
      </w:r>
    </w:p>
    <w:p>
      <w:r>
        <w:rPr>
          <w:rFonts w:ascii="Courier New" w:hAnsi="Courier New"/>
          <w:sz w:val="17"/>
        </w:rPr>
        <w:t xml:space="preserve">    Erzeugnis    Zeitpunkt der Herstellung</w:t>
      </w:r>
    </w:p>
    <w:p>
      <w:r>
        <w:rPr>
          <w:rFonts w:ascii="Courier New" w:hAnsi="Courier New"/>
          <w:sz w:val="17"/>
        </w:rPr>
        <w:t xml:space="preserve">a)    Obst- &amp; Gemüsekonserven und sonstige pflanzliche Lebensmittel als Konserve    30 Tage nach dem Sterilisieren</w:t>
      </w:r>
    </w:p>
    <w:p>
      <w:r>
        <w:rPr>
          <w:rFonts w:ascii="Courier New" w:hAnsi="Courier New"/>
          <w:sz w:val="17"/>
        </w:rPr>
        <w:t xml:space="preserve">b)    Bratfischmarinaden    48 Stunden nach dem Aufgießen</w:t>
      </w:r>
    </w:p>
    <w:p>
      <w:r>
        <w:rPr>
          <w:rFonts w:ascii="Courier New" w:hAnsi="Courier New"/>
          <w:sz w:val="17"/>
        </w:rPr>
        <w:t xml:space="preserve">c)    Würstchen, Fleisch und andere Fleischerzeugnisse    5 Tage nach dem Sterilisieren</w:t>
      </w:r>
    </w:p>
    <w:p>
      <w:r>
        <w:rPr>
          <w:rFonts w:ascii="Courier New" w:hAnsi="Courier New"/>
          <w:sz w:val="17"/>
        </w:rPr>
        <w:t xml:space="preserve">d)    Mozzarella und Käse, der in einer oder aus einer Flüssigkeit in Verkehr gebracht wird    5 Tage nach Abfüllung</w:t>
      </w:r>
    </w:p>
    <w:p>
      <w:r>
        <w:rPr>
          <w:color w:val="555555"/>
          <w:sz w:val="17"/>
        </w:rPr>
        <w:t xml:space="preserve">Zitiervorschlag: Anlage 2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