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FPackV — (zu § 1 Absatz 2 Nummer 5, § 23, § 39 Absatz 4) Verbindliche Werte für die Nennfüllmengen von Fertigpackungen mit Wein und Spirituosen</w:t>
      </w:r>
    </w:p>
    <w:p>
      <w:r>
        <w:rPr>
          <w:color w:val="555555"/>
          <w:sz w:val="18"/>
        </w:rPr>
        <w:t xml:space="preserve">Fertigpackungsverordnung</w:t>
      </w:r>
    </w:p>
    <w:p>
      <w:r>
        <w:rPr>
          <w:color w:val="555555"/>
          <w:sz w:val="18"/>
        </w:rPr>
        <w:t xml:space="preserve">Stand: 01.12.2020 (konsolidierte Textfassung, kein amtliches Inkrafttretensdatum)</w:t>
      </w:r>
    </w:p>
    <w:p>
      <w:r>
        <w:t xml:space="preserve">(Fundstelle: BGBl. I 2020, 2518 - 2519)</w:t>
      </w:r>
    </w:p>
    <w:p>
      <w:pPr>
        <w:ind w:left="420"/>
      </w:pPr>
      <w:r>
        <w:t xml:space="preserve">1. Nach Volumen verkaufte Erzeugnisse (Angabe der Menge in Milliliter)</w:t>
      </w:r>
    </w:p>
    <w:p>
      <w:r>
        <w:rPr>
          <w:rFonts w:ascii="Courier New" w:hAnsi="Courier New"/>
          <w:sz w:val="17"/>
        </w:rPr>
        <w:t xml:space="preserve">Wein    Im Füllmengenbereich zwischen 100 ml und 1 500 ml sind ausschließlich die acht nachstehenden Nennfüllmengen zulässig: ml: 100 – 187 – 250 – 375 – 500 – 750 – 1 000 – 1 500</w:t>
      </w:r>
    </w:p>
    <w:p>
      <w:r>
        <w:rPr>
          <w:rFonts w:ascii="Courier New" w:hAnsi="Courier New"/>
          <w:sz w:val="17"/>
        </w:rPr>
        <w:t xml:space="preserve">Gelbwein    Im Füllmengenbereich zwischen 100 ml und 1 500 ml ist ausschließlich die nachstehende Nennfüllmenge zulässig: ml: 620</w:t>
      </w:r>
    </w:p>
    <w:p>
      <w:r>
        <w:rPr>
          <w:rFonts w:ascii="Courier New" w:hAnsi="Courier New"/>
          <w:sz w:val="17"/>
        </w:rPr>
        <w:t xml:space="preserve">Schaumwein    Im Füllmengenbereich zwischen 125 ml und 1 500 ml sind ausschließlich die fünf nachstehenden Nennfüllmengen zulässig: ml: 125 – 200 – 375 – 750 – 1 500</w:t>
      </w:r>
    </w:p>
    <w:p>
      <w:r>
        <w:rPr>
          <w:rFonts w:ascii="Courier New" w:hAnsi="Courier New"/>
          <w:sz w:val="17"/>
        </w:rPr>
        <w:t xml:space="preserve">Likörwein    Im Füllmengenbereich zwischen 100 ml und 1 500 ml sind ausschließlich die sieben nachstehenden Nennfüllmengen zulässig: ml: 100 – 200 – 375 – 500 – 750 – 1 000 – 1 500</w:t>
      </w:r>
    </w:p>
    <w:p>
      <w:r>
        <w:rPr>
          <w:rFonts w:ascii="Courier New" w:hAnsi="Courier New"/>
          <w:sz w:val="17"/>
        </w:rPr>
        <w:t xml:space="preserve">Aromatisierter Wein    Im Füllmengenbereich zwischen 100 ml und 1 500 ml sind ausschließlich die sieben nachstehenden Nennfüllmengen zulässig: ml: 100 – 200 – 375 – 500 – 750 – 1 000 – 1 500</w:t>
      </w:r>
    </w:p>
    <w:p>
      <w:r>
        <w:rPr>
          <w:rFonts w:ascii="Courier New" w:hAnsi="Courier New"/>
          <w:sz w:val="17"/>
        </w:rPr>
        <w:t xml:space="preserve">Spirituosen    Im Füllmengenbereich zwischen 100 ml und 2 000 ml sind ausschließlich die neun nachstehenden Nennfüllmengen zulässig: ml: 100 – 200 – 350 – 500 – 700 – 1 000 – 1 500 – 1 750 – 2 000</w:t>
      </w:r>
    </w:p>
    <w:p>
      <w:r>
        <w:rPr>
          <w:rFonts w:ascii="Courier New" w:hAnsi="Courier New"/>
          <w:sz w:val="17"/>
        </w:rPr>
        <w:t xml:space="preserve">Shochu    Im Füllmengenbereich zwischen 100 ml und 2 000 ml sind auch die folgenden Nennfüllmengen zulässig: ml: 720 – 1 800</w:t>
      </w:r>
    </w:p>
    <w:p>
      <w:pPr>
        <w:ind w:left="420"/>
      </w:pPr>
      <w:r>
        <w:t xml:space="preserve">2. Begriffsbestimmungen für die Erzeugnisse</w:t>
      </w:r>
    </w:p>
    <w:p>
      <w:r>
        <w:rPr>
          <w:rFonts w:ascii="Courier New" w:hAnsi="Courier New"/>
          <w:sz w:val="17"/>
        </w:rPr>
        <w:t xml:space="preserve">Wein    Wein im Sinne von Artikel 1 Absatz 2 Buchstabe l in Verbindung mit Anhang I, Teil XII, Buchstabe b der Verordnung (EU) Nr. 1308/2013 des Europäischen Parlaments und des Rates vom 17. Dezember 2013 über eine gemeinsame Marktorganisation für landwirtschaftliche Erzeugnisse und zur Aufhebung der Verordnungen (EWG) Nr. 922/72, (EWG) Nr. 234/79, (EG) Nr. 1037/2001 und (EG) Nr. 1234/2007 (ABl. L 347 vom 20.12.2013, S. 671), zuletzt geändert durch die Verordnung (EU) Nr. 2017/2393 (ABl. L 350 vom 29.12.2017, S. 15); KN-Code ex 2204</w:t>
      </w:r>
    </w:p>
    <w:p>
      <w:r>
        <w:rPr>
          <w:rFonts w:ascii="Courier New" w:hAnsi="Courier New"/>
          <w:sz w:val="17"/>
        </w:rPr>
        <w:t xml:space="preserve">Gelbwein    Französischer Wein im Sinne von Artikel 56 in Verbindung mit Anhang VII Ziffer 3 Buchstabe b mit der Ursprungsbezeichnung „Côtes du Jura“, „Arbois“, „L´Etoile“ und „Château-Chalon“ in Flaschen im Sinne von Anhang VII Ziffer 3 Buchstabe a der Delegierten Verordnung (EU) 2019/33 der Kommission vom 17. Oktober 2018 zur Ergänzung der Verordnung (EU) Nr. 1308/2013 des Europäischen Parlaments und des Rates in Bezug auf Anträge auf Schutz von Ursprungsbezeichnungen, geografischen Angaben und traditionellen Begriffen im Weinsektor, das Einspruchsverfahren, Einschränkungen der Verwendung, Änderungen der Produktspezifikationen, die Löschung des Schutzes sowie die Kennzeichnung und Aufmachung (ABl. L 9 vom 11.1.2019, S. 2)</w:t>
      </w:r>
    </w:p>
    <w:p>
      <w:r>
        <w:rPr>
          <w:rFonts w:ascii="Courier New" w:hAnsi="Courier New"/>
          <w:sz w:val="17"/>
        </w:rPr>
        <w:t xml:space="preserve">Schaumwein    Weinbauerzeugnis im Sinne des Anhangs VII, Teil II Nummer 4, 7, 8 und 9 der Verordnung (EU) Nr. 1308/2013; KN-Code 2204 10</w:t>
      </w:r>
    </w:p>
    <w:p>
      <w:r>
        <w:rPr>
          <w:rFonts w:ascii="Courier New" w:hAnsi="Courier New"/>
          <w:sz w:val="17"/>
        </w:rPr>
        <w:t xml:space="preserve">Likörwein    Wein im Sinne des Anhangs VII Teil II Nummer 3 der Verordnung (EU) Nr. 1308/2013; KN-Code 2204 21 – 2204 29</w:t>
      </w:r>
    </w:p>
    <w:p>
      <w:r>
        <w:rPr>
          <w:rFonts w:ascii="Courier New" w:hAnsi="Courier New"/>
          <w:sz w:val="17"/>
        </w:rPr>
        <w:t xml:space="preserve">Aromatisierter Wein    Aromatisierter Wein im Sinne von Artikel 3 Absatz 2 der Verordnung (EU) Nr. 251/2014 des Europäischen Parlaments und des Rates vom 26. Februar 2014 über die Begriffsbestimmung, Beschreibung, Aufmachung und Etikettierung von aromatisierten Weinerzeugnissen sowie den Schutz geografischer Angaben für aromatisierte Weinerzeugnisse und zur Aufhebung der Verordnung (EWG) Nr. 1601/91 des Rates (ABl. L 84 vom 20.3.2014, S. 14); KN-Code 2205</w:t>
      </w:r>
    </w:p>
    <w:p>
      <w:r>
        <w:rPr>
          <w:rFonts w:ascii="Courier New" w:hAnsi="Courier New"/>
          <w:sz w:val="17"/>
        </w:rPr>
        <w:t xml:space="preserve">Spirituosen    Spirituosen im Sinne von Artikel 2 Absatz 1 bis 3 der Verordnung (EG) Nr. 110/2008 des Europäischen Parlaments und des Rates vom 15. Januar 2008 zur Begriffsbestimmung, Bezeichnung, Aufmachung und Etikettierung von Spirituosen sowie zum Schutz geografischer Angaben für Spirituosen und zur Aufhebung der Verordnung (EWG) 1576/89 (ABl. L 39 vom 13.2.2008, S. 16; KN-Code 2208), zuletzt geändert durch Verordnung (EU) Nr. 787/2019 (ABl. L 130 vom 17.5.2019, S. 1); KN-Code 2208</w:t>
      </w:r>
    </w:p>
    <w:p>
      <w:r>
        <w:rPr>
          <w:rFonts w:ascii="Courier New" w:hAnsi="Courier New"/>
          <w:sz w:val="17"/>
        </w:rPr>
        <w:t xml:space="preserve">Shochu    Spirituosen im Sinne von Artikel 24a der Verordnung (EG) Nr. 110/2008</w:t>
      </w:r>
    </w:p>
    <w:p>
      <w:r>
        <w:rPr>
          <w:color w:val="555555"/>
          <w:sz w:val="17"/>
        </w:rPr>
        <w:t xml:space="preserve">Zitiervorschlag: Anlage 1 FPackV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https://recht.nulegal.eu/gesetze/FPackV/anlage-1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