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FPackV — Abtropfgewicht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Befindet sich ein festes Lebensmittel in einer Aufgussflüssigkeit, so ist auf der Fertigpackung neben der Nennfüllmenge auch das Abtropfgewicht dieses Lebensmittels anzugeben.</w:t>
      </w:r>
    </w:p>
    <w:p>
      <w:r>
        <w:t xml:space="preserve">(2) Als Aufgussflüssigkeiten gelten folgende Erzeugnisse, sofern sie gegenüber den wesentlichen Bestandteilen der betreffenden Zubereitung nur eine untergeordnete Rolle spielen und folglich für den Kauf nicht ausschlaggebend sind:</w:t>
      </w:r>
    </w:p>
    <w:p>
      <w:pPr>
        <w:ind w:left="420"/>
      </w:pPr>
      <w:r>
        <w:t xml:space="preserve">1. Wasser,</w:t>
      </w:r>
    </w:p>
    <w:p>
      <w:pPr>
        <w:ind w:left="420"/>
      </w:pPr>
      <w:r>
        <w:t xml:space="preserve">2. wässrige Salzlösungen,</w:t>
      </w:r>
    </w:p>
    <w:p>
      <w:pPr>
        <w:ind w:left="420"/>
      </w:pPr>
      <w:r>
        <w:t xml:space="preserve">3. Salzlake,</w:t>
      </w:r>
    </w:p>
    <w:p>
      <w:pPr>
        <w:ind w:left="420"/>
      </w:pPr>
      <w:r>
        <w:t xml:space="preserve">4. Genusssäure in wässriger Lösung,</w:t>
      </w:r>
    </w:p>
    <w:p>
      <w:pPr>
        <w:ind w:left="420"/>
      </w:pPr>
      <w:r>
        <w:t xml:space="preserve">5. Essig,</w:t>
      </w:r>
    </w:p>
    <w:p>
      <w:pPr>
        <w:ind w:left="420"/>
      </w:pPr>
      <w:r>
        <w:t xml:space="preserve">6. wässrige Zuckerlösungen,</w:t>
      </w:r>
    </w:p>
    <w:p>
      <w:pPr>
        <w:ind w:left="420"/>
      </w:pPr>
      <w:r>
        <w:t xml:space="preserve">7. wässrige Lösungen von anderen Süßungsstoffen oder -mitteln sowie</w:t>
      </w:r>
    </w:p>
    <w:p>
      <w:pPr>
        <w:ind w:left="420"/>
      </w:pPr>
      <w:r>
        <w:t xml:space="preserve">8. Frucht- oder Gemüsesäfte bei Obst und Gemüse.</w:t>
      </w:r>
    </w:p>
    <w:p>
      <w:r>
        <w:t xml:space="preserve">Dies gilt auch, wenn die Aufgussflüssigkeit</w:t>
      </w:r>
    </w:p>
    <w:p>
      <w:pPr>
        <w:ind w:left="420"/>
      </w:pPr>
      <w:r>
        <w:t xml:space="preserve">1. Bestandteil in Mischungen,</w:t>
      </w:r>
    </w:p>
    <w:p>
      <w:pPr>
        <w:ind w:left="420"/>
      </w:pPr>
      <w:r>
        <w:t xml:space="preserve">2. gefroren oder</w:t>
      </w:r>
    </w:p>
    <w:p>
      <w:pPr>
        <w:ind w:left="420"/>
      </w:pPr>
      <w:r>
        <w:t xml:space="preserve">3. tiefgefroren</w:t>
      </w:r>
    </w:p>
    <w:p>
      <w:r>
        <w:t xml:space="preserve">ist.</w:t>
      </w:r>
    </w:p>
    <w:p>
      <w:r>
        <w:rPr>
          <w:color w:val="555555"/>
          <w:sz w:val="17"/>
        </w:rPr>
        <w:t xml:space="preserve">Zitiervorschlag: § 5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