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FPackV — Übergangsvorschriften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Sammelpackungen, die vor dem 1. November 2021 hergestellt wurden, dürfen abweichend von § 38 Absatz 4 in den Geltungsbereich des Mess- und Eichgesetzes verbracht, in den Verkehr gebracht oder auf dem Markt bereitgestellt werden.</w:t>
      </w:r>
    </w:p>
    <w:p>
      <w:r>
        <w:t xml:space="preserve">(2) Messgeräte, die vor dem 31. Dezember 2021 nach § 27 oder § 31 der Fertigpackungsverordnung in der Fassung der Bekanntmachung vom 8. März 1994 (BGBl. I S. 451, 1307), die zuletzt durch Artikel 27 der Verordnung vom 5. Juli 2017 (BGBl. I S. 2272) geändert worden ist, zum Kontrollieren verwendet worden sind, brauchen bis zum Ablauf des 31. Dezember 2031 noch nicht den Anforderungen der Anlage 7 zu entsprechen.</w:t>
      </w:r>
    </w:p>
    <w:p>
      <w:r>
        <w:rPr>
          <w:color w:val="555555"/>
          <w:sz w:val="17"/>
        </w:rPr>
        <w:t xml:space="preserve">Zitiervorschlag: § 44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