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43 FPackV — Ordnungswidrigkeiten</w:t>
      </w:r>
    </w:p>
    <w:p>
      <w:r>
        <w:rPr>
          <w:color w:val="555555"/>
          <w:sz w:val="18"/>
        </w:rPr>
        <w:t xml:space="preserve">Fertigpackungsverordnung</w:t>
      </w:r>
    </w:p>
    <w:p>
      <w:r>
        <w:rPr>
          <w:color w:val="555555"/>
          <w:sz w:val="18"/>
        </w:rPr>
        <w:t xml:space="preserve">Stand: 01.12.2020 (konsolidierte Textfassung, kein amtliches Inkrafttretensdatum)</w:t>
      </w:r>
    </w:p>
    <w:p>
      <w:r>
        <w:t xml:space="preserve">Ordnungswidrig im Sinne des § 60 Absatz 1 Nummer 26 des Mess- und Eichgesetzes handelt, wer vorsätzlich oder fahrlässig</w:t>
      </w:r>
    </w:p>
    <w:p>
      <w:pPr>
        <w:ind w:left="420"/>
      </w:pPr>
      <w:r>
        <w:t xml:space="preserve">1. entgegen § 17 Absatz 1 nicht sicherstellt, dass dort genanntes Obst und Gemüse gekennzeichnet ist,</w:t>
      </w:r>
    </w:p>
    <w:p>
      <w:pPr>
        <w:ind w:left="420"/>
      </w:pPr>
      <w:r>
        <w:t xml:space="preserve">2. entgegen § 17 Absatz 3 nicht sicherstellt, dass dort genanntes Obst oder Gemüse in den Verkehr gebracht wird,</w:t>
      </w:r>
    </w:p>
    <w:p>
      <w:pPr>
        <w:ind w:left="420"/>
      </w:pPr>
      <w:r>
        <w:t xml:space="preserve">3. entgegen § 18 Absatz 1 Satz 1 oder Absatz 2 nicht sicherstellt, dass eine dort genannte Backware oder dort genanntes Brot gekennzeichnet sind,</w:t>
      </w:r>
    </w:p>
    <w:p>
      <w:pPr>
        <w:ind w:left="420"/>
      </w:pPr>
      <w:r>
        <w:t xml:space="preserve">4. entgegen § 18 Absatz 4 nicht sicherstellt, dass eine dort genannte Backware in den Verkehr gebracht wird,</w:t>
      </w:r>
    </w:p>
    <w:p>
      <w:pPr>
        <w:ind w:left="420"/>
      </w:pPr>
      <w:r>
        <w:t xml:space="preserve">5. entgegen § 29 Absatz 2 Nummer 1, 2 oder 3 nicht sicherstellt, dass eine offene Packung gekennzeichnet ist,</w:t>
      </w:r>
    </w:p>
    <w:p>
      <w:pPr>
        <w:ind w:left="420"/>
      </w:pPr>
      <w:r>
        <w:t xml:space="preserve">6. entgegen § 29 Absatz 2 Nummer 4 oder § 30 Absatz 1 Nummer 3 nicht sicherstellt, dass die Nennfüllmenge eine dort genannte Anforderung erfüllt oder</w:t>
      </w:r>
    </w:p>
    <w:p>
      <w:pPr>
        <w:ind w:left="420"/>
      </w:pPr>
      <w:r>
        <w:t xml:space="preserve">7. entgegen § 30 Absatz 1 Nummer 1 oder 2 nicht sicherstellt, dass eine Verkaufseinheit ohne Umhüllung gekennzeichnet ist.</w:t>
      </w:r>
    </w:p>
    <w:p>
      <w:r>
        <w:rPr>
          <w:color w:val="555555"/>
          <w:sz w:val="17"/>
        </w:rPr>
        <w:t xml:space="preserve">Zitiervorschlag: § 43 FPackV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https://recht.nulegal.eu/gesetze/FPackV/43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