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FPackV — Kontroll- und Dokumentationspflichten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Wer Fertigpackungen gleicher Nennfüllmenge mit Gewichtskennzeichnung oder Volumenkennzeichnung herstellt, in den Geltungsbereich des Mess- und Eichgesetzes verbringt, in den Verkehr bringt oder sonst auf dem Markt bereitstellt, hat sicherzustellen, dass bei deren Abfüllung mit einem für den vorgesehenen Verwendungszweck geeigneten Messgerät, das den Anforderungen des Mess- und Eichgesetzes genügt,</w:t>
      </w:r>
    </w:p>
    <w:p>
      <w:pPr>
        <w:ind w:left="420"/>
      </w:pPr>
      <w:r>
        <w:t xml:space="preserve">1. die Einhaltung der Nennfüllmenge nach den Anforderungen dieser Verordnung und Maßgabe des Absatzes 3</w:t>
      </w:r>
    </w:p>
    <w:p>
      <w:pPr>
        <w:ind w:left="780"/>
      </w:pPr>
      <w:r>
        <w:t xml:space="preserve">a) gemessen oder</w:t>
      </w:r>
    </w:p>
    <w:p>
      <w:pPr>
        <w:ind w:left="780"/>
      </w:pPr>
      <w:r>
        <w:t xml:space="preserve">b) kontrolliert</w:t>
      </w:r>
    </w:p>
    <w:p>
      <w:pPr>
        <w:ind w:left="420"/>
      </w:pPr>
      <w:r>
        <w:t xml:space="preserve">wird und</w:t>
      </w:r>
    </w:p>
    <w:p>
      <w:pPr>
        <w:ind w:left="420"/>
      </w:pPr>
      <w:r>
        <w:t xml:space="preserve">2. die Ergebnisse der Messungen oder Kontrollen nach Maßgabe des Absatzes 4 aufgezeichnet und aufbewahrt werden.</w:t>
      </w:r>
    </w:p>
    <w:p>
      <w:r>
        <w:t xml:space="preserve">(2) Wer Fertigpackungen gleicher Nennfüllmenge mit Kennzeichnung nach Stückzahl, Länge oder Fläche herstellt, in den Geltungsbereich des Mess- und Eichgesetzes verbringt, in den Verkehr bringt oder sonst auf dem Markt bereitstellt, muss die Einhaltung der Nennfüllmenge</w:t>
      </w:r>
    </w:p>
    <w:p>
      <w:pPr>
        <w:ind w:left="420"/>
      </w:pPr>
      <w:r>
        <w:t xml:space="preserve">1. nach Maßgabe des Absatzes 3 messen oder kontrollieren sowie</w:t>
      </w:r>
    </w:p>
    <w:p>
      <w:pPr>
        <w:ind w:left="420"/>
      </w:pPr>
      <w:r>
        <w:t xml:space="preserve">2. nach Maßgabe des Absatzes 4 die Ergebnisse der Messungen oder Kontrollen aufzeichnen und aufbewahren.</w:t>
      </w:r>
    </w:p>
    <w:p>
      <w:r>
        <w:t xml:space="preserve">(3) Im Rahmen der Messung oder Kontrolle der Füllmengen sind allgemein anerkannte Messverfahren oder anerkannte statistische Grundsätze anzuwenden. Die zur Kontrolle oder Messung verwendeten Messgeräte müssen den Anforderungen der Anlage 7 entsprechen.</w:t>
      </w:r>
    </w:p>
    <w:p>
      <w:r>
        <w:t xml:space="preserve">(4) Die Ergebnisse nach Absatz 3 sind aufzuzeichnen. Die Aufzeichnungen sind bis zur jeweils folgenden Prüfung nach § 40 aufzubewahren.</w:t>
      </w:r>
    </w:p>
    <w:p>
      <w:r>
        <w:t xml:space="preserve">(5) Werden Fertigpackungen, auf die nicht das ℮-Zeichen nach § 11 aufgebracht ist, überwiegend von Hand hergestellt, kann die zuständige Behörde auf Antrag Ausnahmen von den Absätzen 1 bis 4 zulassen, wenn dadurch die Einhaltung der Nennfüllmengenanforderungen nicht gefährdet wird.</w:t>
      </w:r>
    </w:p>
    <w:p>
      <w:r>
        <w:t xml:space="preserve">(6) Zur Kontrolle der Füllmengen von Maßbehältnis-Flaschen und der Gewichte von Garnen können an Stelle von Messgeräten andere geeignete Kontrolleinrichtungen oder Mittel zur Überprüfung verwendet werden. Das Gleiche gilt für die Prüfung von Füllmengen nach Länge, Fläche oder Stückzahl gekennzeichneter Fertigpackungen sowie für nicht EG-Düngemittel, Bodenhilfsstoffe, Kultursubstrate und Pflanzenhilfsmittel.</w:t>
      </w:r>
    </w:p>
    <w:p>
      <w:r>
        <w:rPr>
          <w:color w:val="555555"/>
          <w:sz w:val="17"/>
        </w:rPr>
        <w:t xml:space="preserve">Zitiervorschlag: § 41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