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FPackV — Allgemeine Vorschriften bei Kennzeichnung nach Gewicht oder Volumen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Die Bestimmungen dieses Abschnitts gelten für nach Gewicht oder Volumen gekennzeichnete Fertigpackungen gleicher Nennfüllmenge für Erzeugnisse, die nicht kleiner als 5 Gramm oder 5 Milliliter und nicht größer als 10 Kilogramm oder 10 Liter sind. Satz 1 gilt nicht für vorverpackte Lebensmittel und nicht vorverpackte Lebensmittel.</w:t>
      </w:r>
    </w:p>
    <w:p>
      <w:r>
        <w:t xml:space="preserve">(2) Wer Fertigpackungen herstellt, in den Geltungsbereich des Mess- und Eichgesetzes verbringt, in den Verkehr bringt oder sonst auf dem Markt bereitstellt, muss sicherstellen, dass</w:t>
      </w:r>
    </w:p>
    <w:p>
      <w:pPr>
        <w:ind w:left="420"/>
      </w:pPr>
      <w:r>
        <w:t xml:space="preserve">1. die Fertigpackungen mit der Nennfüllmenge nach Gewicht oder Volumen unter Beachtung des Absatzes 3 und der §§ 3 und 6 gekennzeichnet sind,</w:t>
      </w:r>
    </w:p>
    <w:p>
      <w:pPr>
        <w:ind w:left="420"/>
      </w:pPr>
      <w:r>
        <w:t xml:space="preserve">2. die Fertigpackungen mit den erforderlichen Angaben nach § 5 Absatz 1 und § 8 Absatz 1 Satz 1 gekennzeichnet sind,</w:t>
      </w:r>
    </w:p>
    <w:p>
      <w:pPr>
        <w:ind w:left="420"/>
      </w:pPr>
      <w:r>
        <w:t xml:space="preserve">3. die Fertigpackungen mit den Aufschriften und Zeichen nach Absatz 4 gekennzeichnet sind und</w:t>
      </w:r>
    </w:p>
    <w:p>
      <w:pPr>
        <w:ind w:left="420"/>
      </w:pPr>
      <w:r>
        <w:t xml:space="preserve">4. die Nennfüllmenge die Anforderungen der §§ 9 und 10 erfüllt.</w:t>
      </w:r>
    </w:p>
    <w:p>
      <w:r>
        <w:t xml:space="preserve">(3) Fertigpackungen mit flüssigen Erzeugnissen sind nach Volumen, Fertigpackungen mit anderen Erzeugnissen nach Gewicht nach Maßgabe des Absatzes 4 zu kennzeichnen, soweit nach anderen Vorschriften nichts anderes geregelt ist oder nicht eine abweichende Kennzeichnung nach der allgemeinen Verkehrsauffassung geboten ist. Im Zweifel hat die Angabe nach der allgemeinen Verkehrsauffassung zu erfolgen.</w:t>
      </w:r>
    </w:p>
    <w:p>
      <w:r>
        <w:t xml:space="preserve">(4) Die Nennfüllmenge ist</w:t>
      </w:r>
    </w:p>
    <w:p>
      <w:pPr>
        <w:ind w:left="420"/>
      </w:pPr>
      <w:r>
        <w:t xml:space="preserve">1. bei der Abgabe nach Gewicht in Gramm oder Kilogramm und</w:t>
      </w:r>
    </w:p>
    <w:p>
      <w:pPr>
        <w:ind w:left="420"/>
      </w:pPr>
      <w:r>
        <w:t xml:space="preserve">2. bei der Abgabe in Volumen in Milliliter, Zentiliter oder Liter</w:t>
      </w:r>
    </w:p>
    <w:p>
      <w:r>
        <w:t xml:space="preserve">in Ziffern anzugeben. Der Name der Einheit oder das Einheitenzeichen ist anzufügen.</w:t>
      </w:r>
    </w:p>
    <w:p>
      <w:r>
        <w:rPr>
          <w:color w:val="555555"/>
          <w:sz w:val="17"/>
        </w:rPr>
        <w:t xml:space="preserve">Zitiervorschlag: § 4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