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FPackV — Genauigkeitsanforderungen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Genauigkeitsanforderungen umfassen bei Maßbehältnis-Flaschen</w:t>
      </w:r>
    </w:p>
    <w:p>
      <w:pPr>
        <w:ind w:left="420"/>
      </w:pPr>
      <w:r>
        <w:t xml:space="preserve">1. den Unterschied zwischen dem Nennvolumen und dem Randvollvolumen oder</w:t>
      </w:r>
    </w:p>
    <w:p>
      <w:pPr>
        <w:ind w:left="420"/>
      </w:pPr>
      <w:r>
        <w:t xml:space="preserve">2. die Entfernung zwischen der dem Nennvolumen entsprechenden Füllhöhe und der oberen Randebene.</w:t>
      </w:r>
    </w:p>
    <w:p>
      <w:r>
        <w:t xml:space="preserve">Sie müssen für alle Flaschen desselben Musters hinreichend konstant sein.</w:t>
      </w:r>
    </w:p>
    <w:p>
      <w:r>
        <w:t xml:space="preserve">(2) Ist nach § 35 Absatz 4 Nummer 1 das Randvollvolumen angegeben, darf das Randvollvolumen vom angegebenen Randvollvolumen um die nachstehenden Werte abweichen:</w:t>
      </w:r>
    </w:p>
    <w:p>
      <w:r>
        <w:rPr>
          <w:rFonts w:ascii="Courier New" w:hAnsi="Courier New"/>
          <w:sz w:val="17"/>
        </w:rPr>
        <w:t xml:space="preserve">Nennvolumen in ml    % des Nennvolumens    ml</w:t>
      </w:r>
    </w:p>
    <w:p>
      <w:r>
        <w:rPr>
          <w:rFonts w:ascii="Courier New" w:hAnsi="Courier New"/>
          <w:sz w:val="17"/>
        </w:rPr>
        <w:t xml:space="preserve">bis 50    6    –</w:t>
      </w:r>
    </w:p>
    <w:p>
      <w:r>
        <w:rPr>
          <w:rFonts w:ascii="Courier New" w:hAnsi="Courier New"/>
          <w:sz w:val="17"/>
        </w:rPr>
        <w:t xml:space="preserve">50 bis 100    –    3</w:t>
      </w:r>
    </w:p>
    <w:p>
      <w:r>
        <w:rPr>
          <w:rFonts w:ascii="Courier New" w:hAnsi="Courier New"/>
          <w:sz w:val="17"/>
        </w:rPr>
        <w:t xml:space="preserve">100 bis 200    3    –</w:t>
      </w:r>
    </w:p>
    <w:p>
      <w:r>
        <w:rPr>
          <w:rFonts w:ascii="Courier New" w:hAnsi="Courier New"/>
          <w:sz w:val="17"/>
        </w:rPr>
        <w:t xml:space="preserve">200 bis 300    –    6</w:t>
      </w:r>
    </w:p>
    <w:p>
      <w:r>
        <w:rPr>
          <w:rFonts w:ascii="Courier New" w:hAnsi="Courier New"/>
          <w:sz w:val="17"/>
        </w:rPr>
        <w:t xml:space="preserve">300 bis 500    2    –</w:t>
      </w:r>
    </w:p>
    <w:p>
      <w:r>
        <w:rPr>
          <w:rFonts w:ascii="Courier New" w:hAnsi="Courier New"/>
          <w:sz w:val="17"/>
        </w:rPr>
        <w:t xml:space="preserve">500 bis 1 000    –    10</w:t>
      </w:r>
    </w:p>
    <w:p>
      <w:r>
        <w:rPr>
          <w:rFonts w:ascii="Courier New" w:hAnsi="Courier New"/>
          <w:sz w:val="17"/>
        </w:rPr>
        <w:t xml:space="preserve">1 000 bis 5 000    1    –</w:t>
      </w:r>
    </w:p>
    <w:p>
      <w:r>
        <w:t xml:space="preserve">(3) Ist nach § 35 Absatz 4 Nummer 2 die Entfernung angegeben, darf das durch die angegebene Entfernung begrenzte Volumen vom Nennvolumen um die in Absatz 2 festgelegten Werte abweichen.</w:t>
      </w:r>
    </w:p>
    <w:p>
      <w:r>
        <w:t xml:space="preserve">(4) Die zulässigen Abweichungen dürfen nicht planmäßig ausgenutzt werden.</w:t>
      </w:r>
    </w:p>
    <w:p>
      <w:r>
        <w:t xml:space="preserve">(5) Die Randvollvolumen von Maßbehältnis-Flaschen sollen den Größenwerten nach den allgemein anerkannten Regeln der Technik entsprechen.</w:t>
      </w:r>
    </w:p>
    <w:p>
      <w:r>
        <w:rPr>
          <w:color w:val="555555"/>
          <w:sz w:val="17"/>
        </w:rPr>
        <w:t xml:space="preserve">Zitiervorschlag: § 36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