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FPackV — Minusabweichungen bei Fertigpackungen ungleicher Nennfüllmenge</w:t>
      </w:r>
    </w:p>
    <w:p>
      <w:r>
        <w:rPr>
          <w:color w:val="555555"/>
          <w:sz w:val="18"/>
        </w:rPr>
        <w:t xml:space="preserve">Fertigpackungsverordnung</w:t>
      </w:r>
    </w:p>
    <w:p>
      <w:r>
        <w:rPr>
          <w:color w:val="555555"/>
          <w:sz w:val="18"/>
        </w:rPr>
        <w:t xml:space="preserve">Stand: 01.12.2020 (konsolidierte Textfassung, kein amtliches Inkrafttretensdatum)</w:t>
      </w:r>
    </w:p>
    <w:p>
      <w:r>
        <w:t xml:space="preserve">(1) Nach Gewicht gekennzeichnete Fertigpackungen ungleicher Nennfüllmenge dürfen nur in den Verkehr gebracht oder sonst auf dem Markt bereitgestellt werden, wenn zum Zeitpunkt der Herstellung die Minusabweichung von der Nennfüllmenge die in der nachstehenden Tabelle festgelegten Werte nicht überschreitet:</w:t>
      </w:r>
    </w:p>
    <w:p>
      <w:r>
        <w:rPr>
          <w:rFonts w:ascii="Courier New" w:hAnsi="Courier New"/>
          <w:sz w:val="17"/>
        </w:rPr>
        <w:t xml:space="preserve">Nennfüllmenge QN in g    Werte der Verkehrsfähigkeit in g</w:t>
      </w:r>
    </w:p>
    <w:p>
      <w:r>
        <w:rPr>
          <w:rFonts w:ascii="Courier New" w:hAnsi="Courier New"/>
          <w:sz w:val="17"/>
        </w:rPr>
        <w:t xml:space="preserve">weniger als 100    1,0</w:t>
      </w:r>
    </w:p>
    <w:p>
      <w:r>
        <w:rPr>
          <w:rFonts w:ascii="Courier New" w:hAnsi="Courier New"/>
          <w:sz w:val="17"/>
        </w:rPr>
        <w:t xml:space="preserve">100 bis weniger als 500    2,0</w:t>
      </w:r>
    </w:p>
    <w:p>
      <w:r>
        <w:rPr>
          <w:rFonts w:ascii="Courier New" w:hAnsi="Courier New"/>
          <w:sz w:val="17"/>
        </w:rPr>
        <w:t xml:space="preserve">500 bis weniger als 2 000    5,0</w:t>
      </w:r>
    </w:p>
    <w:p>
      <w:r>
        <w:rPr>
          <w:rFonts w:ascii="Courier New" w:hAnsi="Courier New"/>
          <w:sz w:val="17"/>
        </w:rPr>
        <w:t xml:space="preserve">2 000 bis 10 000    10,0</w:t>
      </w:r>
    </w:p>
    <w:p>
      <w:r>
        <w:t xml:space="preserve">(2) Nach Länge oder Fläche gekennzeichnete Fertigpackungen ungleicher Nennfüllmenge dürfen nur in den Verkehr gebracht oder sonst auf dem Markt bereitgestellt werden, wenn zum Zeitpunkt der Herstellung die Minusabweichung von der Nennfüllmenge die in § 28 Absatz 3 festgelegten Werte nicht überschreitet.</w:t>
      </w:r>
    </w:p>
    <w:p>
      <w:r>
        <w:rPr>
          <w:color w:val="555555"/>
          <w:sz w:val="17"/>
        </w:rPr>
        <w:t xml:space="preserve">Zitiervorschlag: § 32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