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FPackV — Anforderungen an Fertigpackungen ungleicher Nennfüllmenge</w:t>
      </w:r>
    </w:p>
    <w:p>
      <w:r>
        <w:rPr>
          <w:color w:val="555555"/>
          <w:sz w:val="18"/>
        </w:rPr>
        <w:t xml:space="preserve">Fertigpackungsverordnung</w:t>
      </w:r>
    </w:p>
    <w:p>
      <w:r>
        <w:rPr>
          <w:color w:val="555555"/>
          <w:sz w:val="18"/>
        </w:rPr>
        <w:t xml:space="preserve">Stand: 01.12.2020 (konsolidierte Textfassung, kein amtliches Inkrafttretensdatum)</w:t>
      </w:r>
    </w:p>
    <w:p>
      <w:r>
        <w:t xml:space="preserve">Wer Fertigpackungen ungleicher Nennfüllmenge herstellt, in den Geltungsbereich des Mess- und Eichgesetzes verbringt, in den Verkehr bringt oder sonst auf dem Markt bereitstellt, muss sicherstellen, dass</w:t>
      </w:r>
    </w:p>
    <w:p>
      <w:pPr>
        <w:ind w:left="420"/>
      </w:pPr>
      <w:r>
        <w:t xml:space="preserve">1. diese mit der Nennfüllmenge unter Beachtung des § 3 Absatz 1 und Absatz 3 Satz 1 gekennzeichnet sind,</w:t>
      </w:r>
    </w:p>
    <w:p>
      <w:pPr>
        <w:ind w:left="420"/>
      </w:pPr>
      <w:r>
        <w:t xml:space="preserve">2. diese mit der Angabe nach § 8 Absatz 1 Satz 1 gekennzeichnet sind,</w:t>
      </w:r>
    </w:p>
    <w:p>
      <w:pPr>
        <w:ind w:left="420"/>
      </w:pPr>
      <w:r>
        <w:t xml:space="preserve">3. diese mit den Aufschriften und Zeichen nach § 4 Absatz 4 oder im Falle des § 27 Absatz 2 mit den dort genannten Angaben gekennzeichnet sind und</w:t>
      </w:r>
    </w:p>
    <w:p>
      <w:pPr>
        <w:ind w:left="420"/>
      </w:pPr>
      <w:r>
        <w:t xml:space="preserve">4. die Nennfüllmenge die Anforderungen nach § 32 erfüllt.</w:t>
      </w:r>
    </w:p>
    <w:p>
      <w:r>
        <w:rPr>
          <w:color w:val="555555"/>
          <w:sz w:val="17"/>
        </w:rPr>
        <w:t xml:space="preserve">Zitiervorschlag: § 31 FPackV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https://recht.nulegal.eu/gesetze/FPackV/31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