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FPackV — Verkaufseinheiten ohne Umhüllung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Wer Verkaufseinheiten ohne Umhüllung gleichen Nenngewichts, gleicher Nennlänge oder gleicher Nennfläche herstellt, in den Geltungsbereich des Mess- und Eichgesetzes verbringt, in den Verkehr bringt oder sonst auf dem Markt bereitstellt, muss sicherstellen, dass</w:t>
      </w:r>
    </w:p>
    <w:p>
      <w:pPr>
        <w:ind w:left="420"/>
      </w:pPr>
      <w:r>
        <w:t xml:space="preserve">1. diese mit der Nennfüllmenge nach den Größen Gewicht, Länge oder Fläche unter Beachtung des § 3 Absatz 1 Satz 1 und Absatz 3 Satz 1 gekennzeichnet sind,</w:t>
      </w:r>
    </w:p>
    <w:p>
      <w:pPr>
        <w:ind w:left="420"/>
      </w:pPr>
      <w:r>
        <w:t xml:space="preserve">2. diese mit den erforderlichen Angaben nach § 8 Absatz 1 Satz 1 sowie den Aufschriften und Zeichen nach § 4 Absatz 4 Satz 1 Nummer 1 und Satz 2 oder § 27 Absatz 2 gekennzeichnet sind und</w:t>
      </w:r>
    </w:p>
    <w:p>
      <w:pPr>
        <w:ind w:left="420"/>
      </w:pPr>
      <w:r>
        <w:t xml:space="preserve">3. die Nennfüllmenge die Anforderungen der Absätze 3 und 4 erfüllt.</w:t>
      </w:r>
    </w:p>
    <w:p>
      <w:r>
        <w:t xml:space="preserve">(2) Verkaufseinheiten ohne Umhüllung sind</w:t>
      </w:r>
    </w:p>
    <w:p>
      <w:pPr>
        <w:ind w:left="420"/>
      </w:pPr>
      <w:r>
        <w:t xml:space="preserve">1. Bänder, Litzen und Garne jeder Art,</w:t>
      </w:r>
    </w:p>
    <w:p>
      <w:pPr>
        <w:ind w:left="420"/>
      </w:pPr>
      <w:r>
        <w:t xml:space="preserve">2. Draht,</w:t>
      </w:r>
    </w:p>
    <w:p>
      <w:pPr>
        <w:ind w:left="420"/>
      </w:pPr>
      <w:r>
        <w:t xml:space="preserve">3. Kabel,</w:t>
      </w:r>
    </w:p>
    <w:p>
      <w:pPr>
        <w:ind w:left="420"/>
      </w:pPr>
      <w:r>
        <w:t xml:space="preserve">4. Schläuche,</w:t>
      </w:r>
    </w:p>
    <w:p>
      <w:pPr>
        <w:ind w:left="420"/>
      </w:pPr>
      <w:r>
        <w:t xml:space="preserve">5. Tapeten,</w:t>
      </w:r>
    </w:p>
    <w:p>
      <w:pPr>
        <w:ind w:left="420"/>
      </w:pPr>
      <w:r>
        <w:t xml:space="preserve">6. flächige Textilerzeugnisse mit einer Fläche von mehr als 0,4 Quadratmeter,</w:t>
      </w:r>
    </w:p>
    <w:p>
      <w:pPr>
        <w:ind w:left="420"/>
      </w:pPr>
      <w:r>
        <w:t xml:space="preserve">7. Geflechte und Gewebe jeder Art oder</w:t>
      </w:r>
    </w:p>
    <w:p>
      <w:pPr>
        <w:ind w:left="420"/>
      </w:pPr>
      <w:r>
        <w:t xml:space="preserve">8. vergleichbare Verkaufseinheiten ohne Umhüllung.</w:t>
      </w:r>
    </w:p>
    <w:p>
      <w:r>
        <w:t xml:space="preserve">(3) Der nach Anlage 3 Nummer 6 oder Anlage 4 Nummer 6 bestimmte Mittelwert der Füllmengen darf die angegebene Nennfüllmenge bei Verkaufseinheiten ohne Umhüllung zum Zeitpunkt der Herstellung nicht unterschreiten.</w:t>
      </w:r>
    </w:p>
    <w:p>
      <w:r>
        <w:t xml:space="preserve">(4) Verkaufseinheiten ohne Umhüllung dürfen nur in den Verkehr gebracht oder sonst auf dem Markt bereitgestellt werden, wenn ihr Gewicht die in § 9 oder ihre Länge oder ihre Fläche die in § 28 Absatz 1 bis 3 und 5 Satz 1 festgelegten Minusabweichungen nicht überschreitet.</w:t>
      </w:r>
    </w:p>
    <w:p>
      <w:r>
        <w:t xml:space="preserve">(5) § 1 Absatz 2 Nummer 2 und 3 und die §§ 33, 38, 39 und 41 sind anzuwenden.</w:t>
      </w:r>
    </w:p>
    <w:p>
      <w:r>
        <w:t xml:space="preserve">(6) Die Absätze 1 bis 5 gelten nicht für Verkaufseinheiten, die ausschließlich für Endverbraucher bestimmt sind, die das Erzeugnis in ihrer selbstständigen beruflichen oder gewerblichen Tätigkeit verwenden.</w:t>
      </w:r>
    </w:p>
    <w:p>
      <w:r>
        <w:rPr>
          <w:color w:val="555555"/>
          <w:sz w:val="17"/>
        </w:rPr>
        <w:t xml:space="preserve">Zitiervorschlag: § 30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