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FPackV — Offene Packungen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Die Vorschriften dieser Verordnung über Fertigpackungen sind auf offene Packungen, die in Abwesenheit des Käufers hergestellt werden, entsprechend anzuwenden.</w:t>
      </w:r>
    </w:p>
    <w:p>
      <w:r>
        <w:t xml:space="preserve">(2) Wer offene Packungen herstellt, in den Geltungsbereich des Mess- und Eichgesetzes verbringt, in den Verkehr bringt oder sonst auf dem Markt bereitstellt, muss sicherstellen, dass</w:t>
      </w:r>
    </w:p>
    <w:p>
      <w:pPr>
        <w:ind w:left="420"/>
      </w:pPr>
      <w:r>
        <w:t xml:space="preserve">1. die offene Packung mit der Nennfüllmenge unter Beachtung des § 3 Absatz 1 Satz 1 und Absatz 3 Satz 1 gekennzeichnet ist,</w:t>
      </w:r>
    </w:p>
    <w:p>
      <w:pPr>
        <w:ind w:left="420"/>
      </w:pPr>
      <w:r>
        <w:t xml:space="preserve">2. die offene Packung mit den erforderlichen Angaben nach § 8 Absatz 1 Satz 1 gekennzeichnet ist,</w:t>
      </w:r>
    </w:p>
    <w:p>
      <w:pPr>
        <w:ind w:left="420"/>
      </w:pPr>
      <w:r>
        <w:t xml:space="preserve">3. die offene Packung mit den Aufschriften nach § 4 Absatz 4 oder § 27 Absatz 2 gekennzeichnet ist und</w:t>
      </w:r>
    </w:p>
    <w:p>
      <w:pPr>
        <w:ind w:left="420"/>
      </w:pPr>
      <w:r>
        <w:t xml:space="preserve">4. die Nennfüllmenge die Anforderungen der §§ 9, 26 oder 28 Absatz 1 bis 3 oder 5 Satz 1 oder des § 34 Absatz 3 erfüllt.</w:t>
      </w:r>
    </w:p>
    <w:p>
      <w:r>
        <w:t xml:space="preserve">(3) Abweichend von Absatz 2 Nummer 4 dürfen offene Packungen gleicher Nennfüllmenge auch in einer nachfolgenden Handelsstufe nur in den Geltungsbereich des Mess- und Eichgesetzes verbracht oder sonst auf dem Markt bereitgestellt werden, wenn die Füllmenge zu diesem Zeitpunkt die für Fertigpackungen festgelegte Verkehrsfähigkeitsgrenze von der Nennfüllmenge nicht überschreitet.</w:t>
      </w:r>
    </w:p>
    <w:p>
      <w:r>
        <w:rPr>
          <w:color w:val="555555"/>
          <w:sz w:val="17"/>
        </w:rPr>
        <w:t xml:space="preserve">Zitiervorschlag: § 29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