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FPackV — Anforderungen an die Nennfüllmenge bei Kennzeichnung nach Länge oder Fläche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Nach Länge oder Fläche gekennzeichnete Fertigpackungen dürfen nur so hergestellt werden, dass der nach Anlage 4 Nummer 6 festgestellte Mittelwert der Füllmengen die angegebene Nennfüllmenge zum Zeitpunkt der Herstellung nicht unterschreitet.</w:t>
      </w:r>
    </w:p>
    <w:p>
      <w:r>
        <w:t xml:space="preserve">(2) Nach Länge oder Fläche gekennzeichnete Fertigpackungen dürfen nur in den Geltungsbereich des Mess- und Eichgesetzes verbracht werden, wenn der nach Anlage 4 Nummer 6 festgestellte Mittelwert der Füllmengen die angegebene Nennfüllmenge zum Zeitpunkt der Herstellung nicht unterschreitet.</w:t>
      </w:r>
    </w:p>
    <w:p>
      <w:r>
        <w:t xml:space="preserve">(3) Nach Länge oder Fläche gekennzeichnete Fertigpackungen dürfen nur in den Verkehr gebracht oder sonst auf dem Markt bereitgestellt werden, wenn die Minusabweichung den Wert bei einer Kennzeichnung</w:t>
      </w:r>
    </w:p>
    <w:p>
      <w:pPr>
        <w:ind w:left="420"/>
      </w:pPr>
      <w:r>
        <w:t xml:space="preserve">1. nach Länge zwei vom Hundert,</w:t>
      </w:r>
    </w:p>
    <w:p>
      <w:pPr>
        <w:ind w:left="420"/>
      </w:pPr>
      <w:r>
        <w:t xml:space="preserve">2. nach Fläche drei vom Hundert,</w:t>
      </w:r>
    </w:p>
    <w:p>
      <w:r>
        <w:t xml:space="preserve">nicht überschreitet. Abweichend davon darf die Minusabweichung bei Garnen mit einer Nennlänge von 100 Meter und weniger den Wert vier vom Hundert nicht überschreiten.</w:t>
      </w:r>
    </w:p>
    <w:p>
      <w:r>
        <w:t xml:space="preserve">(4) Als Fläche gilt auch das Produkt aus gekennzeichneter Länge und Breite.</w:t>
      </w:r>
    </w:p>
    <w:p>
      <w:r>
        <w:t xml:space="preserve">(5) Für Verbandstoffe, Heftpflaster und Wundschnellverbände gelten nur die Anforderungen der Absätze 1 und 2. Für Erzeugnisse, für die im Arzneibuch nach § 55 des Arzneimittelgesetzes Anforderungen an die Länge festgelegt sind, gelten diese Anforderungen. Für Reißverschlüsse gelten die anerkannten Regeln der Technik.</w:t>
      </w:r>
    </w:p>
    <w:p>
      <w:r>
        <w:rPr>
          <w:color w:val="555555"/>
          <w:sz w:val="17"/>
        </w:rPr>
        <w:t xml:space="preserve">Zitiervorschlag: § 28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