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FPackV — Anforderungen an die Nennfüllmenge bei Kennzeichnung nach Stückzahl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Nach Stückzahl gekennzeichnete Fertigpackungen mit einer Nennfüllmenge von 30 Stück oder weniger dürfen nur hergestellt, in den Geltungsbereich des Mess- und Eichgesetzes verbracht, in den Verkehr gebracht oder sonst auf dem Markt bereitgestellt werden, wenn sie mindestens die angegebene Menge enthalten.</w:t>
      </w:r>
    </w:p>
    <w:p>
      <w:r>
        <w:t xml:space="preserve">(2) Nach Stückzahl gekennzeichnete Fertigpackungen mit einer Nennfüllmenge von mehr als 30 Stück dürfen nur hergestellt, in den Geltungsbereich des Mess- und Eichgesetzes verbracht, in den Verkehr gebracht oder sonst auf dem Markt bereitgestellt werden, wenn</w:t>
      </w:r>
    </w:p>
    <w:p>
      <w:pPr>
        <w:ind w:left="420"/>
      </w:pPr>
      <w:r>
        <w:t xml:space="preserve">1. der nach Anlage 4 Nummer 6 festgestellte Mittelwert der Füllmengen, die angegebene Nennfüllmenge nicht unterschreitet und</w:t>
      </w:r>
    </w:p>
    <w:p>
      <w:pPr>
        <w:ind w:left="420"/>
      </w:pPr>
      <w:r>
        <w:t xml:space="preserve">2. die Minusabweichung von der Nennfüllmenge ein Stück auf jedes angefangene Hundert nicht überschreitet.</w:t>
      </w:r>
    </w:p>
    <w:p>
      <w:r>
        <w:rPr>
          <w:color w:val="555555"/>
          <w:sz w:val="17"/>
        </w:rPr>
        <w:t xml:space="preserve">Zitiervorschlag: § 26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