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FPackV — Allgemeine Vorschriften bei Kennzeichnung nach Stückzahl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Wer Fertigpackungen, die nach Stückzahl gekennzeichnet sind, herstellt, in den Geltungsbereich des Mess- und Eichgesetzes verbringt, in den Verkehr bringt oder sonst auf dem Markt bereitstellt, muss sicherstellen, dass</w:t>
      </w:r>
    </w:p>
    <w:p>
      <w:pPr>
        <w:ind w:left="420"/>
      </w:pPr>
      <w:r>
        <w:t xml:space="preserve">1. die Fertigpackungen mit der erforderlichen Angabe nach § 8 Absatz 1 Satz 1 gekennzeichnet sind und</w:t>
      </w:r>
    </w:p>
    <w:p>
      <w:pPr>
        <w:ind w:left="420"/>
      </w:pPr>
      <w:r>
        <w:t xml:space="preserve">2. die Nennfüllmenge die Anforderungen nach § 26 erfüllt.</w:t>
      </w:r>
    </w:p>
    <w:p>
      <w:r>
        <w:rPr>
          <w:color w:val="555555"/>
          <w:sz w:val="17"/>
        </w:rPr>
        <w:t xml:space="preserve">Zitiervorschlag: § 24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