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FPackV — Kennzeichnung der Stückzahl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Abweichend von § 20 Absatz 1 und 2 darf die verantwortliche Person im Sinne des Artikels 8 Absatz 1 der Verordnung (EU) Nr. 1169/2011 bei Fertigpackungen mit Obst und Gemüse, Backoblaten und Gewürzen die Stückzahl angeben, wenn die Erzeugnisse der allgemeinen Verkehrsauffassung entsprechend nur nach Stückzahl gehandelt werden.</w:t>
      </w:r>
    </w:p>
    <w:p>
      <w:r>
        <w:t xml:space="preserve">(2) Die verantwortliche Person im Sinne des Artikels 8 Absatz 1 der Verordnung (EU) Nr. 1169/2011 darf die Stückzahl ferner bei folgenden Lebensmitteln angeben, sofern sie in Fertigpackungen mit mehr als einem Stück abgegeben werden und die Füllmenge weniger als 100 Gramm beträgt</w:t>
      </w:r>
    </w:p>
    <w:p>
      <w:pPr>
        <w:ind w:left="420"/>
      </w:pPr>
      <w:r>
        <w:t xml:space="preserve">1. bei figürlichen Zuckerwaren, figürlichen Schokoladenwaren, ausgenommen Pralinen, und Dauerbackwaren mit einem Einzelgewicht von mehr als 5 Gramm,</w:t>
      </w:r>
    </w:p>
    <w:p>
      <w:pPr>
        <w:ind w:left="420"/>
      </w:pPr>
      <w:r>
        <w:t xml:space="preserve">2. bei Kaugummi, Kaubonbons und Schaumzuckerwaren.</w:t>
      </w:r>
    </w:p>
    <w:p>
      <w:r>
        <w:t xml:space="preserve">(3) Bei Fertigpackungen mit Süßstofftabletten ist nur die Stückzahl anzugeben.</w:t>
      </w:r>
    </w:p>
    <w:p>
      <w:r>
        <w:rPr>
          <w:color w:val="555555"/>
          <w:sz w:val="17"/>
        </w:rPr>
        <w:t xml:space="preserve">Zitiervorschlag: § 21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