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FPackV — Weitere Bestimmungen zur Füllmengenkennzeichnung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(1) Fertigpackungen mit flüssigen Lebensmitteln sind nach Volumen zu kennzeichnen, Fertigpackungen mit anderen Lebensmitteln nach Gewicht.</w:t>
      </w:r>
    </w:p>
    <w:p>
      <w:r>
        <w:t xml:space="preserve">(2) Abweichend von Absatz 1 sind zu kennzeichnen</w:t>
      </w:r>
    </w:p>
    <w:p>
      <w:pPr>
        <w:ind w:left="420"/>
      </w:pPr>
      <w:r>
        <w:t xml:space="preserve">1. nach Gewicht Fertigpackungen mit</w:t>
      </w:r>
    </w:p>
    <w:p>
      <w:pPr>
        <w:ind w:left="780"/>
      </w:pPr>
      <w:r>
        <w:t xml:space="preserve">a) Honig, Pektin, Malzextrakt und zur Verwendung als Brotaufstrich bestimmtem Sirup,</w:t>
      </w:r>
    </w:p>
    <w:p>
      <w:pPr>
        <w:ind w:left="780"/>
      </w:pPr>
      <w:r>
        <w:t xml:space="preserve">b) Milcherzeugnissen mit Ausnahme der Milchmischgetränke,</w:t>
      </w:r>
    </w:p>
    <w:p>
      <w:pPr>
        <w:ind w:left="780"/>
      </w:pPr>
      <w:r>
        <w:t xml:space="preserve">c) Essigessenz,</w:t>
      </w:r>
    </w:p>
    <w:p>
      <w:pPr>
        <w:ind w:left="780"/>
      </w:pPr>
      <w:r>
        <w:t xml:space="preserve">d) Würzen,</w:t>
      </w:r>
    </w:p>
    <w:p>
      <w:pPr>
        <w:ind w:left="420"/>
      </w:pPr>
      <w:r>
        <w:t xml:space="preserve">2. nach Volumen Fertigpackungen mit</w:t>
      </w:r>
    </w:p>
    <w:p>
      <w:pPr>
        <w:ind w:left="780"/>
      </w:pPr>
      <w:r>
        <w:t xml:space="preserve">a) Feinkostsoßen und Senf,</w:t>
      </w:r>
    </w:p>
    <w:p>
      <w:pPr>
        <w:ind w:left="780"/>
      </w:pPr>
      <w:r>
        <w:t xml:space="preserve">b) Speiseeis,</w:t>
      </w:r>
    </w:p>
    <w:p>
      <w:pPr>
        <w:ind w:left="420"/>
      </w:pPr>
      <w:r>
        <w:t xml:space="preserve">3. Fertigpackungen mit konzentrierten Suppen, Brühen, Braten-, Würz- und Salatsoßen mit dem Volumen der verzehrfertigen Zubereitung nach Liter oder Milliliter,</w:t>
      </w:r>
    </w:p>
    <w:p>
      <w:pPr>
        <w:ind w:left="420"/>
      </w:pPr>
      <w:r>
        <w:t xml:space="preserve">4. Fertigpackungen mit Backpulver und Backhefe mit dem Gewicht des Mehls, zu dessen Verarbeitung die Füllmenge auch noch nach der im Verkehr vorauszusehenden Lagerzeit ausreicht,</w:t>
      </w:r>
    </w:p>
    <w:p>
      <w:pPr>
        <w:ind w:left="420"/>
      </w:pPr>
      <w:r>
        <w:t xml:space="preserve">5. Fertigpackungen mit Puddingpulver und verwandten Erzeugnissen sowie Trockenerzeugnissen für Pürees, Klöße und ähnliche Beilagen mit der Menge der Flüssigkeit, die zur Zubereitung der Füllmenge erforderlich ist.</w:t>
      </w:r>
    </w:p>
    <w:p>
      <w:r>
        <w:t xml:space="preserve">(3) Abweichend von Absatz 2 Nummer 1 Buchstabe b ist bei</w:t>
      </w:r>
    </w:p>
    <w:p>
      <w:pPr>
        <w:ind w:left="420"/>
      </w:pPr>
      <w:r>
        <w:t xml:space="preserve">1. ungezuckerten Kondensmilcherzeugnissen, die in anderen Behältnissen als Metalldosen oder Tuben abgefüllt sind, das Gewicht und das Volumen,</w:t>
      </w:r>
    </w:p>
    <w:p>
      <w:pPr>
        <w:ind w:left="420"/>
      </w:pPr>
      <w:r>
        <w:t xml:space="preserve">2. Buttermilcherzeugnissen das Gewicht oder das Volumen</w:t>
      </w:r>
    </w:p>
    <w:p>
      <w:r>
        <w:t xml:space="preserve">anzugeben.</w:t>
      </w:r>
    </w:p>
    <w:p>
      <w:r>
        <w:t xml:space="preserve">(4) Bei Fertigpackungen, die ausschließlich für Endverbraucher bestimmt sind, die das Erzeugnis in ihrer selbstständigen beruflichen oder gewerblichen Tätigkeit verwenden, kann die verantwortliche Person im Sinne des Artikels 8 Absatz 1 der Verordnung (EU) Nr. 1169/2011 bei der Kennzeichnung von den Anforderungen der Absätze 1 bis 3 abweichen.</w:t>
      </w:r>
    </w:p>
    <w:p>
      <w:r>
        <w:rPr>
          <w:color w:val="555555"/>
          <w:sz w:val="17"/>
        </w:rPr>
        <w:t xml:space="preserve">Zitiervorschlag: § 20 FPackV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https://recht.nulegal.eu/gesetze/FPackV/20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