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FPackV — Backwaren ohne Vorverpackung im Sinne des Artikels 44 Absatz 1 der Verordnung (EU) Nr. 1169/2011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Die verantwortliche Person im Sinne des Artikels 8 Absatz 1 der Verordnung (EU) Nr. 1169/2011 muss sicherstellen, dass Backwaren gleichen Nenngewichts ohne Vorverpackung, die nach Gewicht zum Verkauf angeboten werden, nach Artikel 9 Absatz 1 Buchstabe e der Verordnung (EU) Nr. 1169/2011 gekennzeichnet sind. Satz 1 gilt nicht für Brot ohne Vorverpackung über 250 Gramm.</w:t>
      </w:r>
    </w:p>
    <w:p>
      <w:r>
        <w:t xml:space="preserve">(2) Die verantwortliche Person im Sinne des Artikels 8 Absatz 1 der Verordnung (EU) Nr. 1169/2011 muss sicherstellen, dass Brot ohne Vorverpackung gleichen Nenngewichts über 250 Gramm nach Artikel 9 Absatz 1 Buchstabe e der Verordnung (EU) Nr. 1169/2011 gekennzeichnet ist.</w:t>
      </w:r>
    </w:p>
    <w:p>
      <w:r>
        <w:t xml:space="preserve">(3) Das Nenngewicht ist durch ein Schild auf oder neben der Backware anzugeben und mit den Aufschriften nach § 4 Absatz 4 Satz 1 Nummer 1 und Satz 2 entsprechend zu kennzeichnen.</w:t>
      </w:r>
    </w:p>
    <w:p>
      <w:r>
        <w:t xml:space="preserve">(4) Der Verantwortliche im Sinne des Artikels 8 Absatz 1 der Verordnung (EU) Nr. 1169/2011 muss sicherstellen, dass Backwaren ohne Vorverpackung nur in den Verkehr gebracht werden, wenn die Füllmenge die Anforderungen des § 9 entsprechend erfüllt.</w:t>
      </w:r>
    </w:p>
    <w:p>
      <w:r>
        <w:t xml:space="preserve">(5) Für Backwaren ohne Vorverpackung gelten die §§ 38, 40 und 41 entsprechend.</w:t>
      </w:r>
    </w:p>
    <w:p>
      <w:r>
        <w:t xml:space="preserve">(6) Die verantwortliche Person im Sinne des Artikels 8 Absatz 1 der Verordnung (EU) Nr. 1169/2011 muss abweichend von den Anforderungen der Verordnung (EU) Nr. 1169/2011 Backwaren ohne Vorverpackung nach den Absätzen 1 und 2 nach Maßgabe des § 21 Absatz 1 und Absatz 2 Nummer 1, des § 22 Absatz 1, Absatz 2 Satz 1 Nummer 3, 4 und 6 und Satz 2 kennzeichnen.</w:t>
      </w:r>
    </w:p>
    <w:p>
      <w:r>
        <w:rPr>
          <w:color w:val="555555"/>
          <w:sz w:val="17"/>
        </w:rPr>
        <w:t xml:space="preserve">Zitiervorschlag: § 18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