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FPackV — Allgemeine Vorschriften für vorverpackte Lebensmittel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verantwortliche Person im Sinne des Artikels 8 Absatz 1 der Verordnung (EU) Nr. 1169/2011 muss sicherstellen, dass ein vorverpacktes Lebensmittel nur in den Verkehr gebracht wird, wenn die Füllmenge die Anforderungen nach den §§ 9, 10, 26, 32 oder des § 34 Absatz 3 entsprechend erfüllt.</w:t>
      </w:r>
    </w:p>
    <w:p>
      <w:r>
        <w:t xml:space="preserve">(2) Für vorverpackte Lebensmittel gelten § 6 Absatz 1, die §§ 11, 34 Absatz 5 sowie die §§ 38, 40, 41 und 42 entsprechend.</w:t>
      </w:r>
    </w:p>
    <w:p>
      <w:r>
        <w:rPr>
          <w:color w:val="555555"/>
          <w:sz w:val="17"/>
        </w:rPr>
        <w:t xml:space="preserve">Zitiervorschlag: § 16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