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FPackV — Allgemeine Vorschriften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Die Anforderungen an Fertigpackungen mit vorverpackten und nicht vorverpackten Lebensmitteln und an andere Verkaufseinheiten mit vorverpackten und nicht vorverpackten Lebensmitteln,</w:t>
      </w:r>
    </w:p>
    <w:p>
      <w:pPr>
        <w:ind w:left="420"/>
      </w:pPr>
      <w:r>
        <w:t xml:space="preserve">1. die für den Endverbraucher bestimmt sind, einschließlich Lebensmitteln, die von Anbietern von Gemeinschaftsverpflegung abgegeben werden, oder</w:t>
      </w:r>
    </w:p>
    <w:p>
      <w:pPr>
        <w:ind w:left="420"/>
      </w:pPr>
      <w:r>
        <w:t xml:space="preserve">2. die für die Lieferung an Anbieter von Gemeinschaftsverpflegung bestimmt sind,</w:t>
      </w:r>
    </w:p>
    <w:p>
      <w:r>
        <w:t xml:space="preserve">richten sich nach Verordnung (EU) Nr. 1169/2011, soweit nachstehend nichts anderes bestimmt ist.</w:t>
      </w:r>
    </w:p>
    <w:p>
      <w:r>
        <w:t xml:space="preserve">(2) § 1 Absatz 2 Nummer 2 und die §§ 20, 21, 22 und 39 Absatz 2 und 3 sind im Einklang mit Artikel 42 der Verordnung (EU) Nr. 1169/2011 vorrangig anzuwenden.</w:t>
      </w:r>
    </w:p>
    <w:p>
      <w:r>
        <w:rPr>
          <w:color w:val="555555"/>
          <w:sz w:val="17"/>
        </w:rPr>
        <w:t xml:space="preserve">Zitiervorschlag: § 15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